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bidi w:val="0"/>
        <w:jc w:val="center"/>
        <w:rPr>
          <w:color w:val="auto"/>
          <w:sz w:val="24"/>
          <w:szCs w:val="24"/>
        </w:rPr>
      </w:pPr>
    </w:p>
    <w:p>
      <w:pPr>
        <w:keepNext/>
        <w:keepLines/>
        <w:pageBreakBefore w:val="0"/>
        <w:bidi w:val="0"/>
        <w:jc w:val="center"/>
        <w:rPr>
          <w:b/>
          <w:bCs/>
          <w:color w:val="auto"/>
          <w:sz w:val="24"/>
          <w:szCs w:val="24"/>
        </w:rPr>
      </w:pPr>
    </w:p>
    <w:p>
      <w:pPr>
        <w:keepNext/>
        <w:keepLines/>
        <w:pageBreakBefore w:val="0"/>
        <w:bidi w:val="0"/>
        <w:adjustRightInd w:val="0"/>
        <w:snapToGrid w:val="0"/>
        <w:jc w:val="center"/>
        <w:outlineLvl w:val="0"/>
        <w:rPr>
          <w:rFonts w:hint="eastAsia" w:ascii="方正小标宋_GBK" w:eastAsia="方正小标宋_GBK"/>
          <w:bCs/>
          <w:color w:val="auto"/>
          <w:sz w:val="72"/>
          <w:szCs w:val="72"/>
        </w:rPr>
      </w:pPr>
      <w:r>
        <w:rPr>
          <w:rFonts w:hint="eastAsia" w:ascii="方正小标宋_GBK" w:eastAsia="方正小标宋_GBK"/>
          <w:bCs/>
          <w:color w:val="auto"/>
          <w:sz w:val="72"/>
          <w:szCs w:val="72"/>
        </w:rPr>
        <w:t>建设项目环境影响报告表</w:t>
      </w:r>
    </w:p>
    <w:p>
      <w:pPr>
        <w:keepNext/>
        <w:keepLines/>
        <w:pageBreakBefore w:val="0"/>
        <w:bidi w:val="0"/>
        <w:adjustRightInd w:val="0"/>
        <w:snapToGrid w:val="0"/>
        <w:spacing w:before="192" w:beforeLines="80"/>
        <w:jc w:val="center"/>
        <w:rPr>
          <w:rFonts w:hint="eastAsia" w:ascii="楷体_GB2312" w:eastAsia="楷体_GB2312"/>
          <w:bCs/>
          <w:color w:val="auto"/>
          <w:sz w:val="48"/>
          <w:szCs w:val="48"/>
        </w:rPr>
      </w:pPr>
      <w:r>
        <w:rPr>
          <w:rFonts w:hint="eastAsia" w:ascii="楷体_GB2312" w:eastAsia="楷体_GB2312"/>
          <w:bCs/>
          <w:color w:val="auto"/>
          <w:sz w:val="48"/>
          <w:szCs w:val="48"/>
        </w:rPr>
        <w:t>（污染影响类）</w:t>
      </w:r>
    </w:p>
    <w:p>
      <w:pPr>
        <w:keepNext/>
        <w:keepLines/>
        <w:pageBreakBefore w:val="0"/>
        <w:bidi w:val="0"/>
        <w:adjustRightInd w:val="0"/>
        <w:snapToGrid w:val="0"/>
        <w:spacing w:line="288" w:lineRule="auto"/>
        <w:jc w:val="center"/>
        <w:outlineLvl w:val="0"/>
        <w:rPr>
          <w:rFonts w:ascii="华文仿宋" w:hAnsi="华文仿宋" w:eastAsia="华文仿宋" w:cs="华文仿宋"/>
          <w:color w:val="auto"/>
          <w:kern w:val="44"/>
          <w:sz w:val="44"/>
          <w:szCs w:val="44"/>
        </w:rPr>
      </w:pPr>
    </w:p>
    <w:p>
      <w:pPr>
        <w:keepNext/>
        <w:keepLines/>
        <w:pageBreakBefore w:val="0"/>
        <w:bidi w:val="0"/>
        <w:jc w:val="center"/>
        <w:rPr>
          <w:rFonts w:eastAsia="仿宋"/>
          <w:color w:val="auto"/>
          <w:sz w:val="52"/>
          <w:szCs w:val="52"/>
        </w:rPr>
      </w:pPr>
    </w:p>
    <w:p>
      <w:pPr>
        <w:keepNext/>
        <w:keepLines/>
        <w:pageBreakBefore w:val="0"/>
        <w:bidi w:val="0"/>
        <w:ind w:firstLine="1040"/>
        <w:rPr>
          <w:rFonts w:eastAsia="仿宋"/>
          <w:color w:val="auto"/>
          <w:sz w:val="44"/>
          <w:szCs w:val="44"/>
        </w:rPr>
      </w:pPr>
    </w:p>
    <w:p>
      <w:pPr>
        <w:keepNext/>
        <w:keepLines/>
        <w:pageBreakBefore w:val="0"/>
        <w:bidi w:val="0"/>
        <w:rPr>
          <w:rFonts w:eastAsia="仿宋"/>
          <w:color w:val="auto"/>
          <w:sz w:val="44"/>
          <w:szCs w:val="44"/>
        </w:rPr>
      </w:pPr>
    </w:p>
    <w:p>
      <w:pPr>
        <w:keepNext/>
        <w:keepLines/>
        <w:pageBreakBefore w:val="0"/>
        <w:bidi w:val="0"/>
        <w:adjustRightInd w:val="0"/>
        <w:snapToGrid w:val="0"/>
        <w:spacing w:line="288" w:lineRule="auto"/>
        <w:ind w:firstLine="640" w:firstLineChars="200"/>
        <w:jc w:val="both"/>
        <w:rPr>
          <w:rFonts w:hint="eastAsia" w:ascii="仿宋_GB2312" w:eastAsia="仿宋_GB2312"/>
          <w:color w:val="auto"/>
          <w:sz w:val="32"/>
          <w:szCs w:val="32"/>
        </w:rPr>
      </w:pPr>
    </w:p>
    <w:p>
      <w:pPr>
        <w:pStyle w:val="2"/>
        <w:rPr>
          <w:rFonts w:hint="eastAsia"/>
        </w:rPr>
      </w:pPr>
    </w:p>
    <w:p>
      <w:pPr>
        <w:keepNext/>
        <w:keepLines/>
        <w:pageBreakBefore w:val="0"/>
        <w:bidi w:val="0"/>
        <w:adjustRightInd w:val="0"/>
        <w:snapToGrid w:val="0"/>
        <w:spacing w:line="288" w:lineRule="auto"/>
        <w:ind w:firstLine="640" w:firstLineChars="200"/>
        <w:jc w:val="both"/>
        <w:rPr>
          <w:rFonts w:hint="eastAsia" w:ascii="仿宋_GB2312" w:eastAsia="仿宋_GB2312"/>
          <w:color w:val="auto"/>
          <w:sz w:val="32"/>
          <w:szCs w:val="32"/>
        </w:rPr>
      </w:pP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bookmarkStart w:id="0" w:name="_Hlk57884087"/>
      <w:r>
        <w:rPr>
          <w:rFonts w:hint="eastAsia" w:ascii="仿宋_GB2312" w:eastAsia="仿宋_GB2312"/>
          <w:color w:val="000000" w:themeColor="text1"/>
          <w:sz w:val="32"/>
          <w:szCs w:val="32"/>
          <w14:textFill>
            <w14:solidFill>
              <w14:schemeClr w14:val="tx1"/>
            </w14:solidFill>
          </w14:textFill>
        </w:rPr>
        <w:t>项目名称：</w:t>
      </w:r>
      <w:r>
        <w:rPr>
          <w:rFonts w:hint="eastAsia" w:ascii="仿宋_GB2312" w:eastAsia="仿宋_GB2312"/>
          <w:color w:val="000000" w:themeColor="text1"/>
          <w:sz w:val="32"/>
          <w:szCs w:val="32"/>
          <w:u w:val="single"/>
          <w14:textFill>
            <w14:solidFill>
              <w14:schemeClr w14:val="tx1"/>
            </w14:solidFill>
          </w14:textFill>
        </w:rPr>
        <w:t xml:space="preserve">  </w:t>
      </w:r>
      <w:r>
        <w:rPr>
          <w:rFonts w:hint="eastAsia" w:ascii="仿宋_GB2312" w:eastAsia="仿宋_GB2312"/>
          <w:color w:val="000000" w:themeColor="text1"/>
          <w:sz w:val="32"/>
          <w:szCs w:val="32"/>
          <w:u w:val="single"/>
          <w:lang w:val="en-US" w:eastAsia="zh-CN"/>
          <w14:textFill>
            <w14:solidFill>
              <w14:schemeClr w14:val="tx1"/>
            </w14:solidFill>
          </w14:textFill>
        </w:rPr>
        <w:t xml:space="preserve">     果洛海东中学建设项目        </w:t>
      </w:r>
    </w:p>
    <w:p>
      <w:pPr>
        <w:adjustRightInd w:val="0"/>
        <w:snapToGrid w:val="0"/>
        <w:spacing w:line="360" w:lineRule="auto"/>
        <w:ind w:firstLine="1038"/>
        <w:rPr>
          <w:rFonts w:hint="default" w:ascii="仿宋_GB2312" w:eastAsia="仿宋_GB2312"/>
          <w:color w:val="000000" w:themeColor="text1"/>
          <w:sz w:val="32"/>
          <w:szCs w:val="32"/>
          <w:u w:val="single"/>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建设单位（盖章）：</w:t>
      </w:r>
      <w:r>
        <w:rPr>
          <w:rFonts w:ascii="仿宋_GB2312" w:eastAsia="仿宋_GB2312"/>
          <w:color w:val="000000" w:themeColor="text1"/>
          <w:sz w:val="32"/>
          <w:szCs w:val="32"/>
          <w:u w:val="single"/>
          <w14:textFill>
            <w14:solidFill>
              <w14:schemeClr w14:val="tx1"/>
            </w14:solidFill>
          </w14:textFill>
        </w:rPr>
        <w:t xml:space="preserve">  </w:t>
      </w:r>
      <w:r>
        <w:rPr>
          <w:rFonts w:hint="eastAsia" w:ascii="仿宋_GB2312" w:eastAsia="仿宋_GB2312"/>
          <w:color w:val="000000" w:themeColor="text1"/>
          <w:sz w:val="32"/>
          <w:szCs w:val="32"/>
          <w:u w:val="single"/>
          <w:lang w:val="en-US" w:eastAsia="zh-CN"/>
          <w14:textFill>
            <w14:solidFill>
              <w14:schemeClr w14:val="tx1"/>
            </w14:solidFill>
          </w14:textFill>
        </w:rPr>
        <w:t xml:space="preserve"> 果洛藏族自治州教育局</w:t>
      </w:r>
      <w:r>
        <w:rPr>
          <w:rFonts w:hint="eastAsia" w:ascii="仿宋_GB2312" w:eastAsia="仿宋_GB2312"/>
          <w:color w:val="000000" w:themeColor="text1"/>
          <w:sz w:val="32"/>
          <w:szCs w:val="32"/>
          <w:u w:val="single"/>
          <w14:textFill>
            <w14:solidFill>
              <w14:schemeClr w14:val="tx1"/>
            </w14:solidFill>
          </w14:textFill>
        </w:rPr>
        <w:t xml:space="preserve"> </w:t>
      </w:r>
      <w:r>
        <w:rPr>
          <w:rFonts w:hint="eastAsia" w:ascii="仿宋_GB2312" w:eastAsia="仿宋_GB2312"/>
          <w:color w:val="000000" w:themeColor="text1"/>
          <w:sz w:val="32"/>
          <w:szCs w:val="32"/>
          <w:u w:val="single"/>
          <w:lang w:val="en-US" w:eastAsia="zh-CN"/>
          <w14:textFill>
            <w14:solidFill>
              <w14:schemeClr w14:val="tx1"/>
            </w14:solidFill>
          </w14:textFill>
        </w:rPr>
        <w:t xml:space="preserve">   </w:t>
      </w:r>
    </w:p>
    <w:p>
      <w:pPr>
        <w:adjustRightInd w:val="0"/>
        <w:snapToGrid w:val="0"/>
        <w:spacing w:line="360" w:lineRule="auto"/>
        <w:ind w:firstLine="1038"/>
        <w:rPr>
          <w:rFonts w:hint="default" w:ascii="仿宋_GB2312" w:eastAsia="仿宋_GB2312"/>
          <w:color w:val="000000" w:themeColor="text1"/>
          <w:sz w:val="32"/>
          <w:szCs w:val="32"/>
          <w:u w:val="single"/>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编制日期：</w:t>
      </w:r>
      <w:r>
        <w:rPr>
          <w:rFonts w:hint="eastAsia" w:ascii="仿宋_GB2312" w:eastAsia="仿宋_GB2312"/>
          <w:color w:val="000000" w:themeColor="text1"/>
          <w:sz w:val="32"/>
          <w:szCs w:val="32"/>
          <w:u w:val="single"/>
          <w14:textFill>
            <w14:solidFill>
              <w14:schemeClr w14:val="tx1"/>
            </w14:solidFill>
          </w14:textFill>
        </w:rPr>
        <w:t xml:space="preserve"> </w:t>
      </w:r>
      <w:r>
        <w:rPr>
          <w:rFonts w:ascii="仿宋_GB2312" w:eastAsia="仿宋_GB2312"/>
          <w:color w:val="000000" w:themeColor="text1"/>
          <w:sz w:val="32"/>
          <w:szCs w:val="32"/>
          <w:u w:val="single"/>
          <w14:textFill>
            <w14:solidFill>
              <w14:schemeClr w14:val="tx1"/>
            </w14:solidFill>
          </w14:textFill>
        </w:rPr>
        <w:t xml:space="preserve">         </w:t>
      </w:r>
      <w:r>
        <w:rPr>
          <w:rFonts w:hint="eastAsia" w:ascii="仿宋_GB2312" w:eastAsia="仿宋_GB2312"/>
          <w:color w:val="000000" w:themeColor="text1"/>
          <w:sz w:val="32"/>
          <w:szCs w:val="32"/>
          <w:u w:val="single"/>
          <w:lang w:val="en-US" w:eastAsia="zh-CN"/>
          <w14:textFill>
            <w14:solidFill>
              <w14:schemeClr w14:val="tx1"/>
            </w14:solidFill>
          </w14:textFill>
        </w:rPr>
        <w:t xml:space="preserve"> </w:t>
      </w:r>
      <w:r>
        <w:rPr>
          <w:rFonts w:hint="eastAsia" w:ascii="仿宋_GB2312" w:eastAsia="仿宋_GB2312"/>
          <w:color w:val="000000" w:themeColor="text1"/>
          <w:sz w:val="32"/>
          <w:szCs w:val="32"/>
          <w:u w:val="single"/>
          <w14:textFill>
            <w14:solidFill>
              <w14:schemeClr w14:val="tx1"/>
            </w14:solidFill>
          </w14:textFill>
        </w:rPr>
        <w:t>二〇二</w:t>
      </w:r>
      <w:r>
        <w:rPr>
          <w:rFonts w:hint="eastAsia" w:ascii="仿宋_GB2312" w:eastAsia="仿宋_GB2312"/>
          <w:color w:val="000000" w:themeColor="text1"/>
          <w:sz w:val="32"/>
          <w:szCs w:val="32"/>
          <w:u w:val="single"/>
          <w:lang w:val="en-US" w:eastAsia="zh-CN"/>
          <w14:textFill>
            <w14:solidFill>
              <w14:schemeClr w14:val="tx1"/>
            </w14:solidFill>
          </w14:textFill>
        </w:rPr>
        <w:t>四</w:t>
      </w:r>
      <w:r>
        <w:rPr>
          <w:rFonts w:hint="eastAsia" w:ascii="仿宋_GB2312" w:eastAsia="仿宋_GB2312"/>
          <w:color w:val="000000" w:themeColor="text1"/>
          <w:sz w:val="32"/>
          <w:szCs w:val="32"/>
          <w:u w:val="single"/>
          <w14:textFill>
            <w14:solidFill>
              <w14:schemeClr w14:val="tx1"/>
            </w14:solidFill>
          </w14:textFill>
        </w:rPr>
        <w:t>年</w:t>
      </w:r>
      <w:r>
        <w:rPr>
          <w:rFonts w:hint="eastAsia" w:ascii="仿宋_GB2312" w:eastAsia="仿宋_GB2312"/>
          <w:color w:val="000000" w:themeColor="text1"/>
          <w:sz w:val="32"/>
          <w:szCs w:val="32"/>
          <w:u w:val="single"/>
          <w:lang w:val="en-US" w:eastAsia="zh-CN"/>
          <w14:textFill>
            <w14:solidFill>
              <w14:schemeClr w14:val="tx1"/>
            </w14:solidFill>
          </w14:textFill>
        </w:rPr>
        <w:t>一</w:t>
      </w:r>
      <w:r>
        <w:rPr>
          <w:rFonts w:hint="eastAsia" w:ascii="仿宋_GB2312" w:eastAsia="仿宋_GB2312"/>
          <w:color w:val="000000" w:themeColor="text1"/>
          <w:sz w:val="32"/>
          <w:szCs w:val="32"/>
          <w:u w:val="single"/>
          <w14:textFill>
            <w14:solidFill>
              <w14:schemeClr w14:val="tx1"/>
            </w14:solidFill>
          </w14:textFill>
        </w:rPr>
        <w:t>月</w:t>
      </w:r>
      <w:r>
        <w:rPr>
          <w:rFonts w:ascii="仿宋_GB2312" w:eastAsia="仿宋_GB2312"/>
          <w:color w:val="000000" w:themeColor="text1"/>
          <w:sz w:val="32"/>
          <w:szCs w:val="32"/>
          <w:u w:val="single"/>
          <w14:textFill>
            <w14:solidFill>
              <w14:schemeClr w14:val="tx1"/>
            </w14:solidFill>
          </w14:textFill>
        </w:rPr>
        <w:t xml:space="preserve">       </w:t>
      </w:r>
      <w:bookmarkEnd w:id="0"/>
      <w:r>
        <w:rPr>
          <w:rFonts w:hint="eastAsia" w:ascii="仿宋_GB2312" w:eastAsia="仿宋_GB2312"/>
          <w:color w:val="000000" w:themeColor="text1"/>
          <w:sz w:val="32"/>
          <w:szCs w:val="32"/>
          <w:u w:val="single"/>
          <w:lang w:val="en-US" w:eastAsia="zh-CN"/>
          <w14:textFill>
            <w14:solidFill>
              <w14:schemeClr w14:val="tx1"/>
            </w14:solidFill>
          </w14:textFill>
        </w:rPr>
        <w:t xml:space="preserve">   </w:t>
      </w: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p>
    <w:p>
      <w:pPr>
        <w:adjustRightInd w:val="0"/>
        <w:snapToGrid w:val="0"/>
        <w:spacing w:line="360" w:lineRule="auto"/>
        <w:ind w:firstLine="1038"/>
        <w:rPr>
          <w:rFonts w:ascii="仿宋_GB2312" w:eastAsia="仿宋_GB2312"/>
          <w:color w:val="000000" w:themeColor="text1"/>
          <w:sz w:val="32"/>
          <w:szCs w:val="32"/>
          <w:u w:val="single"/>
          <w14:textFill>
            <w14:solidFill>
              <w14:schemeClr w14:val="tx1"/>
            </w14:solidFill>
          </w14:textFill>
        </w:rPr>
      </w:pPr>
    </w:p>
    <w:p>
      <w:pPr>
        <w:adjustRightInd w:val="0"/>
        <w:snapToGrid w:val="0"/>
        <w:spacing w:line="360" w:lineRule="auto"/>
        <w:jc w:val="center"/>
        <w:rPr>
          <w:rFonts w:hint="eastAsia" w:ascii="楷体_GB2312" w:eastAsia="楷体_GB2312"/>
          <w:color w:val="auto"/>
          <w:sz w:val="36"/>
          <w:szCs w:val="36"/>
        </w:rPr>
      </w:pPr>
      <w:r>
        <w:rPr>
          <w:rFonts w:hint="eastAsia" w:ascii="楷体_GB2312" w:eastAsia="楷体_GB2312"/>
          <w:color w:val="auto"/>
          <w:sz w:val="36"/>
          <w:szCs w:val="36"/>
        </w:rPr>
        <w:t>中华人民共和国生态环境部制</w:t>
      </w:r>
    </w:p>
    <w:p>
      <w:pPr>
        <w:keepNext/>
        <w:keepLines/>
        <w:pageBreakBefore w:val="0"/>
        <w:bidi w:val="0"/>
        <w:adjustRightInd w:val="0"/>
        <w:snapToGrid w:val="0"/>
        <w:spacing w:line="288" w:lineRule="auto"/>
        <w:ind w:firstLine="1040"/>
        <w:rPr>
          <w:rFonts w:ascii="仿宋_GB2312" w:eastAsia="仿宋_GB2312"/>
          <w:color w:val="auto"/>
          <w:sz w:val="36"/>
          <w:szCs w:val="36"/>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cols w:space="720" w:num="1"/>
          <w:rtlGutter w:val="0"/>
          <w:docGrid w:type="lines" w:linePitch="298" w:charSpace="0"/>
        </w:sectPr>
      </w:pPr>
    </w:p>
    <w:p>
      <w:pPr>
        <w:pStyle w:val="16"/>
      </w:pPr>
    </w:p>
    <w:p>
      <w:pPr>
        <w:pStyle w:val="17"/>
        <w:keepNext/>
        <w:keepLines/>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hint="eastAsia" w:cs="Times New Roman"/>
          <w:color w:val="auto"/>
          <w:kern w:val="2"/>
          <w:sz w:val="28"/>
          <w:szCs w:val="20"/>
          <w:lang w:val="en-US" w:eastAsia="zh-CN" w:bidi="ar-SA"/>
        </w:rPr>
        <w:sectPr>
          <w:footerReference r:id="rId4" w:type="default"/>
          <w:pgSz w:w="11906" w:h="16838"/>
          <w:pgMar w:top="1701" w:right="1531" w:bottom="1701" w:left="1531" w:header="851" w:footer="1077" w:gutter="0"/>
          <w:pgBorders>
            <w:top w:val="none" w:sz="0" w:space="0"/>
            <w:left w:val="none" w:sz="0" w:space="0"/>
            <w:bottom w:val="none" w:sz="0" w:space="0"/>
            <w:right w:val="none" w:sz="0" w:space="0"/>
          </w:pgBorders>
          <w:pgNumType w:fmt="decimal" w:start="1"/>
          <w:cols w:space="720" w:num="1"/>
          <w:rtlGutter w:val="0"/>
          <w:docGrid w:type="lines" w:linePitch="298" w:charSpace="0"/>
        </w:sectPr>
      </w:pPr>
    </w:p>
    <w:p>
      <w:pPr>
        <w:pStyle w:val="17"/>
        <w:keepNext/>
        <w:keepLines/>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hint="eastAsia" w:ascii="黑体" w:hAnsi="黑体" w:eastAsia="黑体"/>
          <w:snapToGrid w:val="0"/>
          <w:color w:val="auto"/>
          <w:sz w:val="30"/>
          <w:szCs w:val="30"/>
        </w:rPr>
      </w:pPr>
      <w:r>
        <w:rPr>
          <w:rFonts w:hint="eastAsia" w:cs="Times New Roman"/>
          <w:color w:val="auto"/>
          <w:kern w:val="2"/>
          <w:sz w:val="28"/>
          <w:szCs w:val="20"/>
          <w:lang w:val="en-US" w:eastAsia="zh-CN" w:bidi="ar-SA"/>
        </w:rPr>
        <w:tab/>
      </w:r>
      <w:r>
        <w:rPr>
          <w:rFonts w:hint="eastAsia" w:ascii="黑体" w:hAnsi="黑体" w:eastAsia="黑体"/>
          <w:snapToGrid w:val="0"/>
          <w:color w:val="auto"/>
          <w:sz w:val="30"/>
          <w:szCs w:val="30"/>
        </w:rPr>
        <w:t>一、建设项目基本情况</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27"/>
        <w:gridCol w:w="2392"/>
        <w:gridCol w:w="2083"/>
        <w:gridCol w:w="27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5"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建设项目名称</w:t>
            </w:r>
          </w:p>
        </w:tc>
        <w:tc>
          <w:tcPr>
            <w:tcW w:w="7243" w:type="dxa"/>
            <w:gridSpan w:val="3"/>
            <w:noWrap w:val="0"/>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lang w:eastAsia="zh-CN"/>
              </w:rPr>
            </w:pPr>
            <w:bookmarkStart w:id="18" w:name="_GoBack"/>
            <w:r>
              <w:rPr>
                <w:rFonts w:hint="eastAsia" w:ascii="宋体" w:hAnsi="宋体" w:cs="宋体"/>
                <w:color w:val="auto"/>
                <w:szCs w:val="21"/>
                <w:lang w:eastAsia="zh-CN"/>
              </w:rPr>
              <w:t>果洛海东中学建设项目</w:t>
            </w:r>
            <w:bookmarkEnd w:id="18"/>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项目代码</w:t>
            </w:r>
          </w:p>
        </w:tc>
        <w:tc>
          <w:tcPr>
            <w:tcW w:w="7243" w:type="dxa"/>
            <w:gridSpan w:val="3"/>
            <w:noWrap w:val="0"/>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2305-632600-04-01-328600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建设单位联系人</w:t>
            </w:r>
          </w:p>
        </w:tc>
        <w:tc>
          <w:tcPr>
            <w:tcW w:w="2392"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胡吉洲</w:t>
            </w:r>
          </w:p>
        </w:tc>
        <w:tc>
          <w:tcPr>
            <w:tcW w:w="2083"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 w:val="21"/>
                <w:szCs w:val="21"/>
              </w:rPr>
            </w:pPr>
            <w:r>
              <w:rPr>
                <w:rFonts w:hint="eastAsia" w:ascii="宋体" w:hAnsi="宋体" w:cs="宋体"/>
                <w:color w:val="auto"/>
                <w:sz w:val="21"/>
                <w:szCs w:val="21"/>
              </w:rPr>
              <w:t>联系方式</w:t>
            </w:r>
          </w:p>
        </w:tc>
        <w:tc>
          <w:tcPr>
            <w:tcW w:w="2768"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cs="宋体"/>
                <w:color w:val="auto"/>
                <w:sz w:val="21"/>
                <w:szCs w:val="21"/>
                <w:lang w:val="en-US"/>
              </w:rPr>
            </w:pPr>
            <w:r>
              <w:rPr>
                <w:rFonts w:hint="default" w:ascii="宋体" w:hAnsi="宋体" w:cs="宋体"/>
                <w:color w:val="auto"/>
                <w:sz w:val="21"/>
                <w:szCs w:val="21"/>
                <w:lang w:val="en-US"/>
              </w:rPr>
              <w:t xml:space="preserve"> 15209753486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建设地点</w:t>
            </w:r>
          </w:p>
        </w:tc>
        <w:tc>
          <w:tcPr>
            <w:tcW w:w="7243" w:type="dxa"/>
            <w:gridSpan w:val="3"/>
            <w:noWrap w:val="0"/>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lang w:val="en-US" w:eastAsia="zh-CN"/>
              </w:rPr>
              <w:t>海东市乐都区水磨营大桥以东，东岗二路以西，复兴路以南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地理坐标</w:t>
            </w:r>
          </w:p>
        </w:tc>
        <w:tc>
          <w:tcPr>
            <w:tcW w:w="7243" w:type="dxa"/>
            <w:gridSpan w:val="3"/>
            <w:noWrap w:val="0"/>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highlight w:val="none"/>
              </w:rPr>
              <w:t>（</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102</w:t>
            </w:r>
            <w:r>
              <w:rPr>
                <w:rFonts w:hint="eastAsia" w:ascii="宋体" w:hAnsi="宋体" w:cs="宋体"/>
                <w:color w:val="auto"/>
                <w:szCs w:val="21"/>
                <w:highlight w:val="none"/>
              </w:rPr>
              <w:t>度</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25</w:t>
            </w:r>
            <w:r>
              <w:rPr>
                <w:rFonts w:ascii="宋体" w:hAnsi="宋体" w:cs="宋体"/>
                <w:color w:val="auto"/>
                <w:szCs w:val="21"/>
                <w:highlight w:val="none"/>
                <w:u w:val="single"/>
              </w:rPr>
              <w:t xml:space="preserve"> </w:t>
            </w:r>
            <w:r>
              <w:rPr>
                <w:rFonts w:hint="eastAsia" w:ascii="宋体" w:hAnsi="宋体" w:cs="宋体"/>
                <w:color w:val="auto"/>
                <w:szCs w:val="21"/>
                <w:highlight w:val="none"/>
              </w:rPr>
              <w:t>分</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48.3873</w:t>
            </w:r>
            <w:r>
              <w:rPr>
                <w:rFonts w:hint="eastAsia" w:ascii="宋体" w:hAnsi="宋体" w:cs="宋体"/>
                <w:color w:val="auto"/>
                <w:szCs w:val="21"/>
                <w:highlight w:val="none"/>
              </w:rPr>
              <w:t>秒，</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36</w:t>
            </w:r>
            <w:r>
              <w:rPr>
                <w:rFonts w:ascii="宋体" w:hAnsi="宋体" w:cs="宋体"/>
                <w:color w:val="auto"/>
                <w:szCs w:val="21"/>
                <w:highlight w:val="none"/>
                <w:u w:val="single"/>
              </w:rPr>
              <w:t xml:space="preserve"> </w:t>
            </w:r>
            <w:r>
              <w:rPr>
                <w:rFonts w:hint="eastAsia" w:ascii="宋体" w:hAnsi="宋体" w:cs="宋体"/>
                <w:color w:val="auto"/>
                <w:szCs w:val="21"/>
                <w:highlight w:val="none"/>
              </w:rPr>
              <w:t>度</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rPr>
              <w:t>分</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23.8860</w:t>
            </w:r>
            <w:r>
              <w:rPr>
                <w:rFonts w:ascii="宋体" w:hAnsi="宋体" w:cs="宋体"/>
                <w:color w:val="auto"/>
                <w:szCs w:val="21"/>
                <w:highlight w:val="none"/>
                <w:u w:val="single"/>
              </w:rPr>
              <w:t xml:space="preserve"> </w:t>
            </w:r>
            <w:r>
              <w:rPr>
                <w:rFonts w:hint="eastAsia" w:ascii="宋体" w:hAnsi="宋体" w:cs="宋体"/>
                <w:color w:val="auto"/>
                <w:szCs w:val="21"/>
                <w:highlight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国民经济</w:t>
            </w:r>
          </w:p>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行业类别</w:t>
            </w:r>
          </w:p>
        </w:tc>
        <w:tc>
          <w:tcPr>
            <w:tcW w:w="2392"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P8331普通初中教育</w:t>
            </w:r>
          </w:p>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default" w:ascii="Times New Roman" w:hAnsi="Times New Roman" w:eastAsia="宋体" w:cs="Times New Roman"/>
                <w:color w:val="auto"/>
                <w:szCs w:val="21"/>
                <w:lang w:val="en-US" w:eastAsia="zh-CN"/>
              </w:rPr>
              <w:t>P</w:t>
            </w:r>
            <w:r>
              <w:rPr>
                <w:color w:val="auto"/>
              </w:rPr>
              <w:t>8334普通高中教育</w:t>
            </w:r>
          </w:p>
        </w:tc>
        <w:tc>
          <w:tcPr>
            <w:tcW w:w="2083"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bookmarkStart w:id="1" w:name="_Hlk49843745"/>
            <w:r>
              <w:rPr>
                <w:rFonts w:hint="eastAsia" w:ascii="宋体" w:hAnsi="宋体" w:cs="宋体"/>
                <w:color w:val="auto"/>
                <w:szCs w:val="21"/>
              </w:rPr>
              <w:t>建设项目</w:t>
            </w:r>
          </w:p>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行业类别</w:t>
            </w:r>
            <w:bookmarkEnd w:id="1"/>
          </w:p>
        </w:tc>
        <w:tc>
          <w:tcPr>
            <w:tcW w:w="2768" w:type="dxa"/>
            <w:noWrap w:val="0"/>
            <w:vAlign w:val="center"/>
          </w:tcPr>
          <w:p>
            <w:pPr>
              <w:keepNext/>
              <w:keepLines/>
              <w:pageBreakBefore w:val="0"/>
              <w:widowControl w:val="0"/>
              <w:kinsoku/>
              <w:wordWrap/>
              <w:overflowPunct/>
              <w:topLinePunct w:val="0"/>
              <w:bidi w:val="0"/>
              <w:adjustRightInd w:val="0"/>
              <w:snapToGrid w:val="0"/>
              <w:textAlignment w:val="auto"/>
              <w:rPr>
                <w:rFonts w:ascii="宋体" w:hAnsi="宋体" w:cs="宋体"/>
                <w:color w:val="auto"/>
                <w:szCs w:val="21"/>
              </w:rPr>
            </w:pPr>
            <w:r>
              <w:rPr>
                <w:rFonts w:hint="default" w:ascii="宋体" w:hAnsi="宋体" w:cs="宋体"/>
                <w:color w:val="auto"/>
                <w:szCs w:val="21"/>
                <w:lang w:val="en-US" w:eastAsia="zh-CN"/>
              </w:rPr>
              <w:t>“</w:t>
            </w:r>
            <w:r>
              <w:rPr>
                <w:rFonts w:ascii="宋体" w:hAnsi="宋体" w:cs="宋体"/>
                <w:color w:val="auto"/>
                <w:szCs w:val="21"/>
                <w:lang w:val="en-US" w:eastAsia="zh-CN"/>
              </w:rPr>
              <w:t>五十、社会事与服务业</w:t>
            </w:r>
            <w:r>
              <w:rPr>
                <w:rFonts w:hint="default" w:ascii="宋体" w:hAnsi="宋体" w:cs="宋体"/>
                <w:color w:val="auto"/>
                <w:szCs w:val="21"/>
                <w:lang w:val="en-US" w:eastAsia="zh-CN"/>
              </w:rPr>
              <w:t>-110学校、福利院、养老院（建筑面积5000平方米及以上的）-涉及环境敏感区的；有化学、生物实验室的学校”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75"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建设性质</w:t>
            </w:r>
          </w:p>
        </w:tc>
        <w:tc>
          <w:tcPr>
            <w:tcW w:w="2392" w:type="dxa"/>
            <w:noWrap w:val="0"/>
            <w:vAlign w:val="center"/>
          </w:tcPr>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新建（迁建）</w:t>
            </w:r>
          </w:p>
          <w:p>
            <w:pPr>
              <w:keepNext/>
              <w:keepLines/>
              <w:pageBreakBefore w:val="0"/>
              <w:widowControl w:val="0"/>
              <w:kinsoku/>
              <w:wordWrap/>
              <w:overflowPunct/>
              <w:topLinePunct w:val="0"/>
              <w:bidi w:val="0"/>
              <w:adjustRightInd w:val="0"/>
              <w:snapToGrid w:val="0"/>
              <w:jc w:val="left"/>
              <w:textAlignment w:val="auto"/>
              <w:rPr>
                <w:rFonts w:hint="eastAsia" w:ascii="宋体" w:hAnsi="宋体" w:cs="宋体"/>
                <w:color w:val="auto"/>
                <w:szCs w:val="21"/>
              </w:rPr>
            </w:pPr>
            <w:r>
              <w:rPr>
                <w:rFonts w:hint="eastAsia" w:ascii="宋体" w:hAnsi="宋体" w:cs="宋体"/>
                <w:color w:val="auto"/>
                <w:szCs w:val="21"/>
              </w:rPr>
              <w:t>□改建</w:t>
            </w:r>
          </w:p>
          <w:p>
            <w:pPr>
              <w:keepNext/>
              <w:keepLines/>
              <w:pageBreakBefore w:val="0"/>
              <w:widowControl w:val="0"/>
              <w:kinsoku/>
              <w:wordWrap/>
              <w:overflowPunct/>
              <w:topLinePunct w:val="0"/>
              <w:bidi w:val="0"/>
              <w:adjustRightInd w:val="0"/>
              <w:snapToGrid w:val="0"/>
              <w:jc w:val="left"/>
              <w:textAlignment w:val="auto"/>
              <w:rPr>
                <w:rFonts w:hint="eastAsia" w:ascii="宋体" w:hAnsi="宋体" w:cs="宋体"/>
                <w:color w:val="auto"/>
                <w:szCs w:val="21"/>
              </w:rPr>
            </w:pPr>
            <w:r>
              <w:rPr>
                <w:rFonts w:hint="eastAsia" w:ascii="宋体" w:hAnsi="宋体" w:cs="宋体"/>
                <w:color w:val="auto"/>
                <w:szCs w:val="21"/>
              </w:rPr>
              <w:t>□扩建</w:t>
            </w:r>
          </w:p>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rPr>
              <w:t>□技术改造</w:t>
            </w:r>
          </w:p>
        </w:tc>
        <w:tc>
          <w:tcPr>
            <w:tcW w:w="2083"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建设项目</w:t>
            </w:r>
          </w:p>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申报情形</w:t>
            </w:r>
          </w:p>
        </w:tc>
        <w:tc>
          <w:tcPr>
            <w:tcW w:w="2768" w:type="dxa"/>
            <w:noWrap w:val="0"/>
            <w:vAlign w:val="center"/>
          </w:tcPr>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首次申报项目</w:t>
            </w:r>
            <w:r>
              <w:rPr>
                <w:rFonts w:ascii="宋体" w:hAnsi="宋体" w:cs="宋体"/>
                <w:color w:val="auto"/>
                <w:szCs w:val="21"/>
              </w:rPr>
              <w:t xml:space="preserve">             </w:t>
            </w:r>
          </w:p>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不予批准后再次申报项目</w:t>
            </w:r>
          </w:p>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超五年重新审核项目</w:t>
            </w:r>
            <w:r>
              <w:rPr>
                <w:rFonts w:ascii="宋体" w:hAnsi="宋体" w:cs="宋体"/>
                <w:color w:val="auto"/>
                <w:szCs w:val="21"/>
              </w:rPr>
              <w:t xml:space="preserve">     </w:t>
            </w:r>
          </w:p>
          <w:p>
            <w:pPr>
              <w:keepNext/>
              <w:keepLines/>
              <w:pageBreakBefore w:val="0"/>
              <w:widowControl w:val="0"/>
              <w:kinsoku/>
              <w:wordWrap/>
              <w:overflowPunct/>
              <w:topLinePunct w:val="0"/>
              <w:bidi w:val="0"/>
              <w:adjustRightInd w:val="0"/>
              <w:snapToGrid w:val="0"/>
              <w:jc w:val="left"/>
              <w:textAlignment w:val="auto"/>
              <w:rPr>
                <w:rFonts w:ascii="宋体" w:hAnsi="宋体" w:cs="宋体"/>
                <w:color w:val="auto"/>
                <w:szCs w:val="21"/>
              </w:rPr>
            </w:pPr>
            <w:r>
              <w:rPr>
                <w:rFonts w:hint="eastAsia" w:ascii="宋体" w:hAnsi="宋体" w:cs="宋体"/>
                <w:color w:val="auto"/>
                <w:szCs w:val="21"/>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7"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项目审批（核准</w:t>
            </w:r>
            <w:r>
              <w:rPr>
                <w:rFonts w:ascii="宋体" w:hAnsi="宋体" w:cs="宋体"/>
                <w:color w:val="auto"/>
                <w:szCs w:val="21"/>
              </w:rPr>
              <w:t>/</w:t>
            </w:r>
          </w:p>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备案）部门（选填）</w:t>
            </w:r>
          </w:p>
        </w:tc>
        <w:tc>
          <w:tcPr>
            <w:tcW w:w="2392"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果洛州发展和改革委员会</w:t>
            </w:r>
          </w:p>
        </w:tc>
        <w:tc>
          <w:tcPr>
            <w:tcW w:w="2083"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项目审批（核准</w:t>
            </w:r>
            <w:r>
              <w:rPr>
                <w:rFonts w:ascii="宋体" w:hAnsi="宋体" w:cs="宋体"/>
                <w:color w:val="auto"/>
                <w:szCs w:val="21"/>
              </w:rPr>
              <w:t>/</w:t>
            </w:r>
          </w:p>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备案）文号（选填）</w:t>
            </w:r>
          </w:p>
        </w:tc>
        <w:tc>
          <w:tcPr>
            <w:tcW w:w="2768"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lang w:val="en-US" w:eastAsia="zh-CN"/>
              </w:rPr>
              <w:t>果发改投资</w:t>
            </w:r>
            <w:r>
              <w:rPr>
                <w:rFonts w:hint="eastAsia" w:ascii="宋体" w:hAnsi="宋体" w:cs="宋体"/>
                <w:color w:val="auto"/>
                <w:szCs w:val="21"/>
              </w:rPr>
              <w:t>〔202</w:t>
            </w:r>
            <w:r>
              <w:rPr>
                <w:rFonts w:hint="eastAsia" w:ascii="宋体" w:hAnsi="宋体" w:cs="宋体"/>
                <w:color w:val="auto"/>
                <w:szCs w:val="21"/>
                <w:lang w:val="en-US" w:eastAsia="zh-CN"/>
              </w:rPr>
              <w:t>3</w:t>
            </w:r>
            <w:r>
              <w:rPr>
                <w:rFonts w:hint="eastAsia" w:ascii="宋体" w:hAnsi="宋体" w:cs="宋体"/>
                <w:color w:val="auto"/>
                <w:szCs w:val="21"/>
              </w:rPr>
              <w:t>]</w:t>
            </w:r>
            <w:r>
              <w:rPr>
                <w:rFonts w:hint="eastAsia" w:ascii="宋体" w:hAnsi="宋体" w:cs="宋体"/>
                <w:color w:val="auto"/>
                <w:szCs w:val="21"/>
                <w:lang w:val="en-US" w:eastAsia="zh-CN"/>
              </w:rPr>
              <w:t>582</w:t>
            </w:r>
            <w:r>
              <w:rPr>
                <w:rFonts w:hint="eastAsia" w:ascii="宋体" w:hAnsi="宋体" w:cs="宋体"/>
                <w:color w:val="auto"/>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总投资（万元）</w:t>
            </w:r>
          </w:p>
        </w:tc>
        <w:tc>
          <w:tcPr>
            <w:tcW w:w="2392"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50813</w:t>
            </w:r>
          </w:p>
        </w:tc>
        <w:tc>
          <w:tcPr>
            <w:tcW w:w="2083"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环保投资（万元）</w:t>
            </w:r>
          </w:p>
        </w:tc>
        <w:tc>
          <w:tcPr>
            <w:tcW w:w="2768"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环保投资占比（</w:t>
            </w:r>
            <w:r>
              <w:rPr>
                <w:rFonts w:ascii="宋体" w:hAnsi="宋体" w:cs="宋体"/>
                <w:color w:val="auto"/>
                <w:szCs w:val="21"/>
              </w:rPr>
              <w:t>%</w:t>
            </w:r>
            <w:r>
              <w:rPr>
                <w:rFonts w:hint="eastAsia" w:ascii="宋体" w:hAnsi="宋体" w:cs="宋体"/>
                <w:color w:val="auto"/>
                <w:szCs w:val="21"/>
              </w:rPr>
              <w:t>）</w:t>
            </w:r>
          </w:p>
        </w:tc>
        <w:tc>
          <w:tcPr>
            <w:tcW w:w="2392"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0.3</w:t>
            </w:r>
          </w:p>
        </w:tc>
        <w:tc>
          <w:tcPr>
            <w:tcW w:w="2083"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施工工期</w:t>
            </w:r>
          </w:p>
        </w:tc>
        <w:tc>
          <w:tcPr>
            <w:tcW w:w="2768"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35个月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627"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zCs w:val="21"/>
              </w:rPr>
              <w:t>是否开工建设</w:t>
            </w:r>
          </w:p>
        </w:tc>
        <w:tc>
          <w:tcPr>
            <w:tcW w:w="2392" w:type="dxa"/>
            <w:noWrap w:val="0"/>
            <w:vAlign w:val="center"/>
          </w:tcPr>
          <w:p>
            <w:pPr>
              <w:keepNext/>
              <w:keepLines/>
              <w:pageBreakBefore w:val="0"/>
              <w:widowControl w:val="0"/>
              <w:kinsoku/>
              <w:wordWrap/>
              <w:overflowPunct/>
              <w:topLinePunct w:val="0"/>
              <w:bidi w:val="0"/>
              <w:adjustRightInd w:val="0"/>
              <w:snapToGrid w:val="0"/>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否</w:t>
            </w:r>
          </w:p>
          <w:p>
            <w:pPr>
              <w:keepNext/>
              <w:keepLines/>
              <w:pageBreakBefore w:val="0"/>
              <w:widowControl w:val="0"/>
              <w:kinsoku/>
              <w:wordWrap/>
              <w:overflowPunct/>
              <w:topLinePunct w:val="0"/>
              <w:bidi w:val="0"/>
              <w:adjustRightInd w:val="0"/>
              <w:snapToGrid w:val="0"/>
              <w:textAlignment w:val="auto"/>
              <w:rPr>
                <w:rFonts w:ascii="宋体" w:hAnsi="宋体" w:cs="宋体"/>
                <w:color w:val="auto"/>
                <w:szCs w:val="21"/>
              </w:rPr>
            </w:pPr>
            <w:r>
              <w:rPr>
                <w:rFonts w:hint="eastAsia" w:ascii="宋体" w:hAnsi="宋体" w:cs="宋体"/>
                <w:color w:val="auto"/>
                <w:szCs w:val="21"/>
                <w:lang w:eastAsia="zh-CN"/>
              </w:rPr>
              <w:t>□</w:t>
            </w:r>
            <w:r>
              <w:rPr>
                <w:rFonts w:hint="eastAsia" w:ascii="宋体" w:hAnsi="宋体" w:cs="宋体"/>
                <w:color w:val="auto"/>
                <w:szCs w:val="21"/>
              </w:rPr>
              <w:t>是：</w:t>
            </w:r>
            <w:r>
              <w:rPr>
                <w:rFonts w:hint="eastAsia" w:ascii="宋体" w:hAnsi="宋体" w:cs="宋体"/>
                <w:color w:val="auto"/>
                <w:szCs w:val="21"/>
                <w:u w:val="single"/>
              </w:rPr>
              <w:t xml:space="preserve">             </w:t>
            </w:r>
          </w:p>
        </w:tc>
        <w:tc>
          <w:tcPr>
            <w:tcW w:w="2083" w:type="dxa"/>
            <w:noWrap w:val="0"/>
            <w:tcMar>
              <w:top w:w="16" w:type="dxa"/>
              <w:left w:w="16" w:type="dxa"/>
              <w:right w:w="16" w:type="dxa"/>
            </w:tcMar>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pacing w:val="-6"/>
                <w:szCs w:val="21"/>
              </w:rPr>
            </w:pPr>
            <w:r>
              <w:rPr>
                <w:rFonts w:hint="eastAsia" w:ascii="宋体" w:hAnsi="宋体" w:cs="宋体"/>
                <w:color w:val="auto"/>
                <w:spacing w:val="-6"/>
                <w:szCs w:val="21"/>
              </w:rPr>
              <w:t>用地（用海）</w:t>
            </w:r>
          </w:p>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szCs w:val="21"/>
              </w:rPr>
            </w:pPr>
            <w:r>
              <w:rPr>
                <w:rFonts w:hint="eastAsia" w:ascii="宋体" w:hAnsi="宋体" w:cs="宋体"/>
                <w:color w:val="auto"/>
                <w:spacing w:val="-6"/>
                <w:szCs w:val="21"/>
              </w:rPr>
              <w:t>面积（</w:t>
            </w:r>
            <w:r>
              <w:rPr>
                <w:rFonts w:ascii="宋体" w:hAnsi="宋体" w:cs="宋体"/>
                <w:color w:val="auto"/>
                <w:spacing w:val="-6"/>
                <w:szCs w:val="21"/>
              </w:rPr>
              <w:t>m</w:t>
            </w:r>
            <w:r>
              <w:rPr>
                <w:rFonts w:ascii="宋体" w:hAnsi="宋体" w:cs="宋体"/>
                <w:color w:val="auto"/>
                <w:spacing w:val="-6"/>
                <w:szCs w:val="21"/>
                <w:vertAlign w:val="superscript"/>
              </w:rPr>
              <w:t>2</w:t>
            </w:r>
            <w:r>
              <w:rPr>
                <w:rFonts w:hint="eastAsia" w:ascii="宋体" w:hAnsi="宋体" w:cs="宋体"/>
                <w:color w:val="auto"/>
                <w:spacing w:val="-6"/>
                <w:szCs w:val="21"/>
              </w:rPr>
              <w:t>）</w:t>
            </w:r>
          </w:p>
        </w:tc>
        <w:tc>
          <w:tcPr>
            <w:tcW w:w="2768" w:type="dxa"/>
            <w:noWrap w:val="0"/>
            <w:vAlign w:val="center"/>
          </w:tcPr>
          <w:p>
            <w:pPr>
              <w:keepNext/>
              <w:keepLines/>
              <w:pageBreakBefore w:val="0"/>
              <w:widowControl w:val="0"/>
              <w:kinsoku/>
              <w:wordWrap/>
              <w:overflowPunct/>
              <w:topLinePunct w:val="0"/>
              <w:bidi w:val="0"/>
              <w:adjustRightInd w:val="0"/>
              <w:snapToGrid w:val="0"/>
              <w:ind w:firstLine="840" w:firstLineChars="400"/>
              <w:jc w:val="left"/>
              <w:textAlignment w:val="auto"/>
              <w:rPr>
                <w:rFonts w:hint="default"/>
                <w:lang w:val="en-US" w:eastAsia="zh-CN"/>
              </w:rPr>
            </w:pPr>
            <w:r>
              <w:rPr>
                <w:rFonts w:hint="eastAsia"/>
                <w:lang w:val="en-US" w:eastAsia="zh-CN"/>
              </w:rPr>
              <w:t>134666.7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7" w:type="dxa"/>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ascii="宋体" w:hAnsi="宋体" w:cs="宋体"/>
                <w:color w:val="auto"/>
                <w:kern w:val="0"/>
                <w:szCs w:val="21"/>
              </w:rPr>
            </w:pPr>
            <w:r>
              <w:rPr>
                <w:rFonts w:hint="eastAsia" w:ascii="宋体" w:hAnsi="宋体" w:cs="宋体"/>
                <w:color w:val="auto"/>
                <w:kern w:val="0"/>
                <w:szCs w:val="21"/>
              </w:rPr>
              <w:t>专项评价设置情况</w:t>
            </w:r>
          </w:p>
        </w:tc>
        <w:tc>
          <w:tcPr>
            <w:tcW w:w="7243" w:type="dxa"/>
            <w:gridSpan w:val="3"/>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627" w:type="dxa"/>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cs="宋体"/>
                <w:color w:val="auto"/>
                <w:kern w:val="0"/>
                <w:szCs w:val="21"/>
              </w:rPr>
            </w:pPr>
            <w:r>
              <w:rPr>
                <w:rFonts w:hint="eastAsia" w:ascii="宋体" w:hAnsi="宋体" w:cs="宋体"/>
                <w:color w:val="auto"/>
                <w:szCs w:val="21"/>
              </w:rPr>
              <w:t>规划情况</w:t>
            </w:r>
          </w:p>
        </w:tc>
        <w:tc>
          <w:tcPr>
            <w:tcW w:w="7243" w:type="dxa"/>
            <w:gridSpan w:val="3"/>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highlight w:val="none"/>
                <w:lang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627" w:type="dxa"/>
            <w:noWrap w:val="0"/>
            <w:vAlign w:val="center"/>
          </w:tcPr>
          <w:p>
            <w:pPr>
              <w:keepNext/>
              <w:keepLines/>
              <w:pageBreakBefore w:val="0"/>
              <w:widowControl w:val="0"/>
              <w:kinsoku/>
              <w:wordWrap/>
              <w:overflowPunct/>
              <w:topLinePunct w:val="0"/>
              <w:bidi w:val="0"/>
              <w:adjustRightInd w:val="0"/>
              <w:snapToGrid w:val="0"/>
              <w:jc w:val="center"/>
              <w:textAlignment w:val="auto"/>
              <w:rPr>
                <w:rFonts w:ascii="宋体" w:hAnsi="宋体" w:cs="宋体"/>
                <w:color w:val="auto"/>
                <w:szCs w:val="21"/>
              </w:rPr>
            </w:pPr>
            <w:r>
              <w:rPr>
                <w:rFonts w:hint="eastAsia" w:ascii="宋体" w:hAnsi="宋体" w:cs="宋体"/>
                <w:color w:val="auto"/>
                <w:szCs w:val="21"/>
              </w:rPr>
              <w:t>规划环境影响</w:t>
            </w:r>
          </w:p>
          <w:p>
            <w:pPr>
              <w:keepNext/>
              <w:keepLines/>
              <w:pageBreakBefore w:val="0"/>
              <w:widowControl w:val="0"/>
              <w:kinsoku/>
              <w:wordWrap/>
              <w:overflowPunct/>
              <w:topLinePunct w:val="0"/>
              <w:bidi w:val="0"/>
              <w:adjustRightInd w:val="0"/>
              <w:snapToGrid w:val="0"/>
              <w:jc w:val="center"/>
              <w:textAlignment w:val="auto"/>
              <w:rPr>
                <w:rFonts w:hint="eastAsia" w:ascii="宋体" w:hAnsi="宋体" w:cs="宋体"/>
                <w:color w:val="auto"/>
                <w:kern w:val="0"/>
                <w:szCs w:val="21"/>
              </w:rPr>
            </w:pPr>
            <w:r>
              <w:rPr>
                <w:rFonts w:hint="eastAsia" w:ascii="宋体" w:hAnsi="宋体" w:cs="宋体"/>
                <w:color w:val="auto"/>
                <w:szCs w:val="21"/>
              </w:rPr>
              <w:t>评价情况</w:t>
            </w:r>
          </w:p>
        </w:tc>
        <w:tc>
          <w:tcPr>
            <w:tcW w:w="7243" w:type="dxa"/>
            <w:gridSpan w:val="3"/>
            <w:noWrap w:val="0"/>
            <w:vAlign w:val="center"/>
          </w:tcPr>
          <w:p>
            <w:pPr>
              <w:keepNext/>
              <w:keepLines/>
              <w:pageBreakBefore w:val="0"/>
              <w:widowControl w:val="0"/>
              <w:tabs>
                <w:tab w:val="left" w:pos="2575"/>
              </w:tabs>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627" w:type="dxa"/>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ascii="宋体" w:hAnsi="宋体" w:cs="宋体"/>
                <w:color w:val="auto"/>
                <w:kern w:val="0"/>
                <w:szCs w:val="21"/>
              </w:rPr>
            </w:pPr>
            <w:r>
              <w:rPr>
                <w:rFonts w:hint="eastAsia" w:ascii="宋体" w:hAnsi="宋体" w:cs="宋体"/>
                <w:color w:val="auto"/>
                <w:kern w:val="0"/>
                <w:szCs w:val="21"/>
              </w:rPr>
              <w:t>规划及规划环境影响评价符合性分析</w:t>
            </w:r>
          </w:p>
        </w:tc>
        <w:tc>
          <w:tcPr>
            <w:tcW w:w="7243" w:type="dxa"/>
            <w:gridSpan w:val="3"/>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b w:val="0"/>
                <w:bCs w:val="0"/>
                <w:color w:val="auto"/>
                <w:kern w:val="0"/>
                <w:sz w:val="24"/>
                <w:szCs w:val="24"/>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627" w:type="dxa"/>
            <w:noWrap w:val="0"/>
            <w:vAlign w:val="center"/>
          </w:tcPr>
          <w:p>
            <w:pPr>
              <w:keepNext/>
              <w:keepLines/>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cs="宋体"/>
                <w:color w:val="auto"/>
                <w:kern w:val="0"/>
                <w:szCs w:val="21"/>
              </w:rPr>
            </w:pPr>
            <w:r>
              <w:rPr>
                <w:rFonts w:hint="eastAsia" w:ascii="宋体" w:hAnsi="宋体" w:cs="宋体"/>
                <w:color w:val="auto"/>
                <w:kern w:val="0"/>
                <w:szCs w:val="21"/>
              </w:rPr>
              <w:t>其他符合性分析</w:t>
            </w:r>
          </w:p>
        </w:tc>
        <w:tc>
          <w:tcPr>
            <w:tcW w:w="7243" w:type="dxa"/>
            <w:gridSpan w:val="3"/>
            <w:noWrap w:val="0"/>
            <w:vAlign w:val="center"/>
          </w:tcPr>
          <w:p>
            <w:pPr>
              <w:keepNext/>
              <w:keepLines/>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ascii="Times New Roman" w:hAnsi="Times New Roman" w:cs="Times New Roman"/>
                <w:b/>
                <w:bCs w:val="0"/>
                <w:color w:val="auto"/>
                <w:sz w:val="24"/>
              </w:rPr>
            </w:pPr>
            <w:r>
              <w:rPr>
                <w:rFonts w:hint="eastAsia" w:cs="Times New Roman"/>
                <w:b/>
                <w:bCs w:val="0"/>
                <w:color w:val="auto"/>
                <w:sz w:val="24"/>
                <w:lang w:val="en-US" w:eastAsia="zh-CN"/>
              </w:rPr>
              <w:t>1、</w:t>
            </w:r>
            <w:r>
              <w:rPr>
                <w:rFonts w:hint="default" w:ascii="Times New Roman" w:hAnsi="Times New Roman" w:cs="Times New Roman"/>
                <w:b/>
                <w:bCs w:val="0"/>
                <w:color w:val="auto"/>
                <w:sz w:val="24"/>
              </w:rPr>
              <w:t>产业政策符合性分析</w:t>
            </w:r>
          </w:p>
          <w:p>
            <w:pPr>
              <w:keepNext/>
              <w:keepLines/>
              <w:pageBreakBefore w:val="0"/>
              <w:widowControl w:val="0"/>
              <w:kinsoku/>
              <w:wordWrap/>
              <w:topLinePunct/>
              <w:autoSpaceDE/>
              <w:autoSpaceDN/>
              <w:bidi w:val="0"/>
              <w:adjustRightInd w:val="0"/>
              <w:snapToGrid w:val="0"/>
              <w:spacing w:line="360" w:lineRule="auto"/>
              <w:ind w:firstLine="480" w:firstLineChars="200"/>
              <w:textAlignment w:val="auto"/>
              <w:rPr>
                <w:rFonts w:hint="default" w:ascii="Times New Roman" w:hAnsi="Times New Roman" w:cs="Times New Roman"/>
                <w:bCs/>
                <w:color w:val="auto"/>
                <w:sz w:val="24"/>
              </w:rPr>
            </w:pPr>
            <w:r>
              <w:rPr>
                <w:rFonts w:hint="default" w:ascii="Times New Roman" w:hAnsi="Times New Roman" w:cs="Times New Roman"/>
                <w:bCs/>
                <w:color w:val="auto"/>
                <w:sz w:val="24"/>
                <w:lang w:val="en-US" w:eastAsia="zh-CN"/>
              </w:rPr>
              <w:t>本项目为普通</w:t>
            </w:r>
            <w:r>
              <w:rPr>
                <w:rFonts w:hint="eastAsia" w:ascii="Times New Roman" w:hAnsi="Times New Roman" w:cs="Times New Roman"/>
                <w:bCs/>
                <w:color w:val="auto"/>
                <w:sz w:val="24"/>
                <w:lang w:val="en-US" w:eastAsia="zh-CN"/>
              </w:rPr>
              <w:t>高中</w:t>
            </w:r>
            <w:r>
              <w:rPr>
                <w:rFonts w:hint="default" w:ascii="Times New Roman" w:hAnsi="Times New Roman" w:cs="Times New Roman"/>
                <w:bCs/>
                <w:color w:val="auto"/>
                <w:sz w:val="24"/>
                <w:lang w:val="en-US" w:eastAsia="zh-CN"/>
              </w:rPr>
              <w:t>教育学校建设项目，根据《产业结构调整指导目录（20</w:t>
            </w:r>
            <w:r>
              <w:rPr>
                <w:rFonts w:hint="eastAsia" w:cs="Times New Roman"/>
                <w:bCs/>
                <w:color w:val="auto"/>
                <w:sz w:val="24"/>
                <w:lang w:val="en-US" w:eastAsia="zh-CN"/>
              </w:rPr>
              <w:t>24</w:t>
            </w:r>
            <w:r>
              <w:rPr>
                <w:rFonts w:hint="default" w:ascii="Times New Roman" w:hAnsi="Times New Roman" w:cs="Times New Roman"/>
                <w:bCs/>
                <w:color w:val="auto"/>
                <w:sz w:val="24"/>
                <w:lang w:val="en-US" w:eastAsia="zh-CN"/>
              </w:rPr>
              <w:t>年本）》</w:t>
            </w:r>
            <w:r>
              <w:rPr>
                <w:rFonts w:hint="eastAsia" w:ascii="Times New Roman" w:hAnsi="Times New Roman" w:cs="Times New Roman"/>
                <w:bCs/>
                <w:color w:val="auto"/>
                <w:sz w:val="24"/>
                <w:lang w:val="en-US" w:eastAsia="zh-CN"/>
              </w:rPr>
              <w:t>，</w:t>
            </w:r>
            <w:r>
              <w:rPr>
                <w:rFonts w:hint="default" w:ascii="Times New Roman" w:hAnsi="Times New Roman" w:cs="Times New Roman"/>
                <w:bCs/>
                <w:color w:val="auto"/>
                <w:sz w:val="24"/>
                <w:lang w:val="en-US" w:eastAsia="zh-CN"/>
              </w:rPr>
              <w:t xml:space="preserve">本项目不属于鼓励类、限制类和淘汰类，属于允许建设项目。 </w:t>
            </w:r>
          </w:p>
          <w:p>
            <w:pPr>
              <w:keepNext/>
              <w:keepLines/>
              <w:pageBreakBefore w:val="0"/>
              <w:widowControl w:val="0"/>
              <w:kinsoku/>
              <w:wordWrap/>
              <w:topLinePunct/>
              <w:autoSpaceDE/>
              <w:autoSpaceDN/>
              <w:bidi w:val="0"/>
              <w:adjustRightInd w:val="0"/>
              <w:snapToGrid w:val="0"/>
              <w:spacing w:line="360" w:lineRule="auto"/>
              <w:ind w:firstLine="480" w:firstLineChars="200"/>
              <w:textAlignment w:val="auto"/>
              <w:rPr>
                <w:rFonts w:hint="default" w:ascii="Times New Roman" w:hAnsi="Times New Roman" w:cs="Times New Roman"/>
                <w:bCs/>
                <w:color w:val="auto"/>
                <w:sz w:val="24"/>
              </w:rPr>
            </w:pPr>
            <w:r>
              <w:rPr>
                <w:rFonts w:hint="default" w:ascii="Times New Roman" w:hAnsi="Times New Roman" w:cs="Times New Roman"/>
                <w:bCs/>
                <w:color w:val="auto"/>
                <w:sz w:val="24"/>
                <w:lang w:val="en-US" w:eastAsia="zh-CN"/>
              </w:rPr>
              <w:t>本项目已取得果洛州发展和改革委员会</w:t>
            </w:r>
            <w:r>
              <w:rPr>
                <w:rFonts w:hint="default" w:ascii="Times New Roman" w:hAnsi="Times New Roman" w:cs="Times New Roman"/>
                <w:bCs/>
                <w:color w:val="auto"/>
                <w:sz w:val="24"/>
                <w:highlight w:val="none"/>
                <w:lang w:val="en-US" w:eastAsia="zh-CN"/>
              </w:rPr>
              <w:t>的备案，项目代码为</w:t>
            </w:r>
            <w:r>
              <w:rPr>
                <w:rFonts w:hint="eastAsia" w:ascii="Times New Roman" w:hAnsi="Times New Roman" w:cs="Times New Roman"/>
                <w:bCs/>
                <w:color w:val="auto"/>
                <w:sz w:val="24"/>
                <w:highlight w:val="none"/>
                <w:lang w:val="en-US" w:eastAsia="zh-CN"/>
              </w:rPr>
              <w:t>“2305-632600-04-01-328600”</w:t>
            </w:r>
            <w:r>
              <w:rPr>
                <w:rFonts w:hint="default" w:ascii="Times New Roman" w:hAnsi="Times New Roman" w:cs="Times New Roman"/>
                <w:bCs/>
                <w:color w:val="auto"/>
                <w:sz w:val="24"/>
                <w:highlight w:val="none"/>
                <w:lang w:val="en-US" w:eastAsia="zh-CN"/>
              </w:rPr>
              <w:t>，</w:t>
            </w:r>
            <w:r>
              <w:rPr>
                <w:rFonts w:hint="default" w:ascii="Times New Roman" w:hAnsi="Times New Roman" w:cs="Times New Roman"/>
                <w:bCs/>
                <w:color w:val="auto"/>
                <w:sz w:val="24"/>
                <w:lang w:val="en-US" w:eastAsia="zh-CN"/>
              </w:rPr>
              <w:t>因此，项目符合国家和地方产业政策。</w:t>
            </w:r>
          </w:p>
          <w:p>
            <w:pPr>
              <w:keepNext/>
              <w:keepLines/>
              <w:pageBreakBefore w:val="0"/>
              <w:widowControl w:val="0"/>
              <w:kinsoku/>
              <w:wordWrap/>
              <w:overflowPunct w:val="0"/>
              <w:autoSpaceDE/>
              <w:autoSpaceDN/>
              <w:bidi w:val="0"/>
              <w:snapToGrid w:val="0"/>
              <w:spacing w:line="360" w:lineRule="auto"/>
              <w:ind w:firstLine="482" w:firstLineChars="200"/>
              <w:textAlignment w:val="auto"/>
              <w:rPr>
                <w:rFonts w:hint="eastAsia" w:ascii="Times New Roman" w:hAnsi="Times New Roman"/>
                <w:b/>
                <w:bCs w:val="0"/>
                <w:color w:val="auto"/>
                <w:sz w:val="24"/>
                <w:szCs w:val="22"/>
                <w:lang w:val="en-US" w:eastAsia="zh-CN"/>
              </w:rPr>
            </w:pPr>
            <w:r>
              <w:rPr>
                <w:rFonts w:hint="eastAsia"/>
                <w:b/>
                <w:bCs w:val="0"/>
                <w:color w:val="auto"/>
                <w:sz w:val="24"/>
                <w:szCs w:val="22"/>
                <w:lang w:val="en-US" w:eastAsia="zh-CN"/>
              </w:rPr>
              <w:t>2、</w:t>
            </w:r>
            <w:r>
              <w:rPr>
                <w:rFonts w:hint="eastAsia" w:ascii="Times New Roman" w:hAnsi="Times New Roman"/>
                <w:b/>
                <w:bCs w:val="0"/>
                <w:color w:val="auto"/>
                <w:sz w:val="24"/>
                <w:szCs w:val="22"/>
                <w:lang w:val="en-US" w:eastAsia="zh-CN"/>
              </w:rPr>
              <w:t xml:space="preserve">选址合理相符性 </w:t>
            </w:r>
          </w:p>
          <w:p>
            <w:pPr>
              <w:keepNext/>
              <w:keepLines/>
              <w:pageBreakBefore w:val="0"/>
              <w:widowControl w:val="0"/>
              <w:kinsoku/>
              <w:wordWrap/>
              <w:overflowPunct w:val="0"/>
              <w:autoSpaceDE/>
              <w:autoSpaceDN/>
              <w:bidi w:val="0"/>
              <w:snapToGrid w:val="0"/>
              <w:spacing w:line="360" w:lineRule="auto"/>
              <w:ind w:firstLine="480" w:firstLineChars="200"/>
              <w:textAlignment w:val="auto"/>
              <w:rPr>
                <w:rFonts w:hint="eastAsia" w:ascii="Times New Roman" w:hAnsi="Times New Roman"/>
                <w:b w:val="0"/>
                <w:bCs/>
                <w:color w:val="auto"/>
                <w:sz w:val="24"/>
                <w:szCs w:val="22"/>
                <w:lang w:val="en-US" w:eastAsia="zh-CN"/>
              </w:rPr>
            </w:pPr>
            <w:r>
              <w:rPr>
                <w:rFonts w:hint="eastAsia" w:ascii="Times New Roman" w:hAnsi="Times New Roman"/>
                <w:b w:val="0"/>
                <w:bCs/>
                <w:color w:val="auto"/>
                <w:sz w:val="24"/>
                <w:szCs w:val="22"/>
                <w:lang w:val="en-US" w:eastAsia="zh-CN"/>
              </w:rPr>
              <w:t>本项目选址位于海东市乐都区水磨营大桥以东，东岗二路以西，复兴路以南，场地东侧为</w:t>
            </w:r>
            <w:r>
              <w:rPr>
                <w:rFonts w:hint="eastAsia"/>
                <w:b w:val="0"/>
                <w:bCs/>
                <w:color w:val="auto"/>
                <w:sz w:val="24"/>
                <w:szCs w:val="22"/>
                <w:lang w:val="en-US" w:eastAsia="zh-CN"/>
              </w:rPr>
              <w:t>空地</w:t>
            </w:r>
            <w:r>
              <w:rPr>
                <w:rFonts w:hint="eastAsia" w:ascii="Times New Roman" w:hAnsi="Times New Roman"/>
                <w:b w:val="0"/>
                <w:bCs/>
                <w:color w:val="auto"/>
                <w:sz w:val="24"/>
                <w:szCs w:val="22"/>
                <w:lang w:val="en-US" w:eastAsia="zh-CN"/>
              </w:rPr>
              <w:t>，南侧</w:t>
            </w:r>
            <w:r>
              <w:rPr>
                <w:rFonts w:hint="eastAsia"/>
                <w:b w:val="0"/>
                <w:bCs/>
                <w:color w:val="auto"/>
                <w:sz w:val="24"/>
                <w:szCs w:val="22"/>
                <w:lang w:val="en-US" w:eastAsia="zh-CN"/>
              </w:rPr>
              <w:t>紧邻东岗村</w:t>
            </w:r>
            <w:r>
              <w:rPr>
                <w:rFonts w:hint="eastAsia" w:ascii="Times New Roman" w:hAnsi="Times New Roman"/>
                <w:b w:val="0"/>
                <w:bCs/>
                <w:color w:val="auto"/>
                <w:sz w:val="24"/>
                <w:szCs w:val="22"/>
                <w:lang w:val="en-US" w:eastAsia="zh-CN"/>
              </w:rPr>
              <w:t>，</w:t>
            </w:r>
            <w:r>
              <w:rPr>
                <w:rFonts w:hint="eastAsia"/>
                <w:b w:val="0"/>
                <w:bCs/>
                <w:color w:val="auto"/>
                <w:sz w:val="24"/>
                <w:szCs w:val="22"/>
                <w:lang w:val="en-US" w:eastAsia="zh-CN"/>
              </w:rPr>
              <w:t>北侧为湟水河</w:t>
            </w:r>
            <w:r>
              <w:rPr>
                <w:rFonts w:hint="eastAsia" w:ascii="Times New Roman" w:hAnsi="Times New Roman"/>
                <w:b w:val="0"/>
                <w:bCs/>
                <w:color w:val="auto"/>
                <w:sz w:val="24"/>
                <w:szCs w:val="22"/>
                <w:lang w:val="en-US" w:eastAsia="zh-CN"/>
              </w:rPr>
              <w:t>，</w:t>
            </w:r>
            <w:r>
              <w:rPr>
                <w:rFonts w:hint="eastAsia"/>
                <w:b w:val="0"/>
                <w:bCs/>
                <w:color w:val="auto"/>
                <w:sz w:val="24"/>
                <w:szCs w:val="22"/>
                <w:lang w:val="en-US" w:eastAsia="zh-CN"/>
              </w:rPr>
              <w:t>根据本项目</w:t>
            </w:r>
            <w:r>
              <w:rPr>
                <w:rFonts w:hint="eastAsia" w:ascii="Times New Roman" w:hAnsi="Times New Roman"/>
                <w:b w:val="0"/>
                <w:bCs/>
                <w:color w:val="auto"/>
                <w:sz w:val="24"/>
                <w:szCs w:val="22"/>
                <w:lang w:val="en-US" w:eastAsia="zh-CN"/>
              </w:rPr>
              <w:t>建设项目用地预审与选址意见书</w:t>
            </w:r>
            <w:r>
              <w:rPr>
                <w:rFonts w:hint="eastAsia"/>
                <w:b w:val="0"/>
                <w:bCs/>
                <w:color w:val="auto"/>
                <w:sz w:val="24"/>
                <w:szCs w:val="22"/>
                <w:lang w:val="en-US" w:eastAsia="zh-CN"/>
              </w:rPr>
              <w:t>可知，项目建设符合《青海省海东城市总体规划（2016-2030年）》的要求，故本项目用地符合要求</w:t>
            </w:r>
            <w:r>
              <w:rPr>
                <w:rFonts w:hint="eastAsia" w:ascii="Times New Roman" w:hAnsi="Times New Roman"/>
                <w:b w:val="0"/>
                <w:bCs/>
                <w:color w:val="auto"/>
                <w:sz w:val="24"/>
                <w:szCs w:val="22"/>
                <w:lang w:val="en-US" w:eastAsia="zh-CN"/>
              </w:rPr>
              <w:t>。</w:t>
            </w:r>
          </w:p>
          <w:p>
            <w:pPr>
              <w:keepNext/>
              <w:keepLines/>
              <w:pageBreakBefore w:val="0"/>
              <w:widowControl w:val="0"/>
              <w:kinsoku/>
              <w:wordWrap/>
              <w:overflowPunct w:val="0"/>
              <w:autoSpaceDE/>
              <w:autoSpaceDN/>
              <w:bidi w:val="0"/>
              <w:snapToGrid w:val="0"/>
              <w:spacing w:line="360" w:lineRule="auto"/>
              <w:ind w:firstLine="480" w:firstLineChars="200"/>
              <w:textAlignment w:val="auto"/>
              <w:rPr>
                <w:rFonts w:hint="eastAsia" w:ascii="Times New Roman" w:hAnsi="Times New Roman"/>
                <w:b w:val="0"/>
                <w:bCs/>
                <w:color w:val="auto"/>
                <w:sz w:val="24"/>
                <w:szCs w:val="22"/>
                <w:lang w:val="en-US" w:eastAsia="zh-CN"/>
              </w:rPr>
            </w:pPr>
            <w:r>
              <w:rPr>
                <w:rFonts w:hint="eastAsia" w:ascii="Times New Roman" w:hAnsi="Times New Roman"/>
                <w:b w:val="0"/>
                <w:bCs/>
                <w:color w:val="auto"/>
                <w:sz w:val="24"/>
                <w:szCs w:val="22"/>
                <w:lang w:val="en-US" w:eastAsia="zh-CN"/>
              </w:rPr>
              <w:t>根据《城市普通中小学校校舍建设标准》对中小学校校址选择的相关要求：</w:t>
            </w:r>
          </w:p>
          <w:p>
            <w:pPr>
              <w:keepNext/>
              <w:keepLines/>
              <w:pageBreakBefore w:val="0"/>
              <w:widowControl w:val="0"/>
              <w:kinsoku/>
              <w:wordWrap/>
              <w:overflowPunct w:val="0"/>
              <w:autoSpaceDE/>
              <w:autoSpaceDN/>
              <w:bidi w:val="0"/>
              <w:snapToGrid w:val="0"/>
              <w:spacing w:line="360" w:lineRule="auto"/>
              <w:ind w:firstLine="480" w:firstLineChars="200"/>
              <w:textAlignment w:val="auto"/>
              <w:rPr>
                <w:rFonts w:hint="eastAsia" w:ascii="Times New Roman" w:hAnsi="Times New Roman" w:eastAsia="宋体" w:cs="Times New Roman"/>
                <w:b w:val="0"/>
                <w:bCs/>
                <w:color w:val="auto"/>
                <w:sz w:val="24"/>
                <w:szCs w:val="22"/>
                <w:lang w:val="en-US" w:eastAsia="zh-CN"/>
              </w:rPr>
            </w:pPr>
            <w:r>
              <w:rPr>
                <w:rFonts w:hint="eastAsia" w:ascii="Times New Roman" w:hAnsi="Times New Roman" w:eastAsia="宋体" w:cs="Times New Roman"/>
                <w:b w:val="0"/>
                <w:bCs/>
                <w:color w:val="auto"/>
                <w:sz w:val="24"/>
                <w:szCs w:val="22"/>
                <w:lang w:val="en-US" w:eastAsia="zh-CN"/>
              </w:rPr>
              <w:t>（1）城市新建的普通中小学校，校址应选在交通方便、地势平坦开阔、空气清新、阳光充足、排水通畅、环境适宜、公用设施比较完善、远离污染源的地段。应避开高层建筑的阴影区、地震断裂带、山丘地区的滑坡段、悬崖边及崖底、河湾及泥石流地区、水坝泄洪区等不安全地带。架空高压输电线、高压电缆及通航河道等不得穿越校区。</w:t>
            </w:r>
          </w:p>
          <w:p>
            <w:pPr>
              <w:keepNext/>
              <w:keepLines/>
              <w:pageBreakBefore w:val="0"/>
              <w:widowControl w:val="0"/>
              <w:kinsoku/>
              <w:wordWrap/>
              <w:overflowPunct w:val="0"/>
              <w:autoSpaceDE/>
              <w:autoSpaceDN/>
              <w:bidi w:val="0"/>
              <w:snapToGrid w:val="0"/>
              <w:spacing w:line="360" w:lineRule="auto"/>
              <w:ind w:firstLine="480" w:firstLineChars="200"/>
              <w:textAlignment w:val="auto"/>
              <w:rPr>
                <w:rFonts w:hint="eastAsia" w:ascii="Times New Roman" w:hAnsi="Times New Roman" w:eastAsia="宋体" w:cs="Times New Roman"/>
                <w:b w:val="0"/>
                <w:bCs/>
                <w:color w:val="auto"/>
                <w:sz w:val="24"/>
                <w:szCs w:val="22"/>
                <w:lang w:val="en-US" w:eastAsia="zh-CN"/>
              </w:rPr>
            </w:pPr>
            <w:r>
              <w:rPr>
                <w:rFonts w:hint="eastAsia" w:ascii="Times New Roman" w:hAnsi="Times New Roman" w:eastAsia="宋体" w:cs="Times New Roman"/>
                <w:b w:val="0"/>
                <w:bCs/>
                <w:color w:val="auto"/>
                <w:sz w:val="24"/>
                <w:szCs w:val="22"/>
                <w:lang w:val="en-US" w:eastAsia="zh-CN"/>
              </w:rPr>
              <w:t>（2）学校不应与集贸市场、公共娱乐场所、医院传染病房、太平间、公安看守所等不利于学生学习和身心健康，以及危及学生安全的场所毗邻。</w:t>
            </w:r>
          </w:p>
          <w:p>
            <w:pPr>
              <w:keepNext/>
              <w:keepLines/>
              <w:pageBreakBefore w:val="0"/>
              <w:widowControl w:val="0"/>
              <w:kinsoku/>
              <w:wordWrap/>
              <w:overflowPunct w:val="0"/>
              <w:autoSpaceDE/>
              <w:autoSpaceDN/>
              <w:bidi w:val="0"/>
              <w:snapToGrid w:val="0"/>
              <w:spacing w:line="360" w:lineRule="auto"/>
              <w:ind w:firstLine="480" w:firstLineChars="200"/>
              <w:textAlignment w:val="auto"/>
              <w:rPr>
                <w:rFonts w:hint="eastAsia" w:ascii="Times New Roman" w:hAnsi="Times New Roman" w:eastAsia="宋体" w:cs="Times New Roman"/>
                <w:b w:val="0"/>
                <w:bCs/>
                <w:color w:val="auto"/>
                <w:sz w:val="24"/>
                <w:szCs w:val="22"/>
                <w:lang w:val="en-US" w:eastAsia="zh-CN"/>
              </w:rPr>
            </w:pPr>
            <w:r>
              <w:rPr>
                <w:rFonts w:hint="eastAsia" w:ascii="Times New Roman" w:hAnsi="Times New Roman" w:eastAsia="宋体" w:cs="Times New Roman"/>
                <w:b w:val="0"/>
                <w:bCs/>
                <w:color w:val="auto"/>
                <w:sz w:val="24"/>
                <w:szCs w:val="22"/>
                <w:lang w:val="en-US" w:eastAsia="zh-CN"/>
              </w:rPr>
              <w:t>项目校址选择在交通方便、地势平坦开阔、空气清新、阳光充足、排水通畅、环境适宜、公用设施比较完善、</w:t>
            </w:r>
            <w:r>
              <w:rPr>
                <w:rFonts w:hint="eastAsia" w:cs="Times New Roman"/>
                <w:b w:val="0"/>
                <w:bCs/>
                <w:color w:val="auto"/>
                <w:sz w:val="24"/>
                <w:szCs w:val="22"/>
                <w:lang w:val="en-US" w:eastAsia="zh-CN"/>
              </w:rPr>
              <w:t>周围无工业企业等高污染源</w:t>
            </w:r>
            <w:r>
              <w:rPr>
                <w:rFonts w:hint="eastAsia" w:ascii="Times New Roman" w:hAnsi="Times New Roman" w:eastAsia="宋体" w:cs="Times New Roman"/>
                <w:b w:val="0"/>
                <w:bCs/>
                <w:color w:val="auto"/>
                <w:sz w:val="24"/>
                <w:szCs w:val="22"/>
                <w:lang w:val="en-US" w:eastAsia="zh-CN"/>
              </w:rPr>
              <w:t>，拟建场地地质情况良好，远离地质塌陷、泥石流、洪涝、悬崖等自然灾害易发地段，远离</w:t>
            </w:r>
            <w:r>
              <w:rPr>
                <w:rFonts w:hint="eastAsia" w:cs="Times New Roman"/>
                <w:b w:val="0"/>
                <w:bCs/>
                <w:color w:val="auto"/>
                <w:sz w:val="24"/>
                <w:szCs w:val="22"/>
                <w:lang w:val="en-US" w:eastAsia="zh-CN"/>
              </w:rPr>
              <w:t>了</w:t>
            </w:r>
            <w:r>
              <w:rPr>
                <w:rFonts w:hint="eastAsia" w:ascii="Times New Roman" w:hAnsi="Times New Roman" w:eastAsia="宋体" w:cs="Times New Roman"/>
                <w:b w:val="0"/>
                <w:bCs/>
                <w:color w:val="auto"/>
                <w:sz w:val="24"/>
                <w:szCs w:val="22"/>
                <w:lang w:val="en-US" w:eastAsia="zh-CN"/>
              </w:rPr>
              <w:t>高压输气管道、输油管道等，场地远离集贸市场、公共娱乐场所、医院传染病房等不利于学生学习和身心健康以及危及学生安全的场所，所以项目选址满足《城市普通中小学校校舍建设标准》对中小学校校址选择的相关要求。</w:t>
            </w:r>
          </w:p>
          <w:p>
            <w:pPr>
              <w:keepNext/>
              <w:keepLines/>
              <w:pageBreakBefore w:val="0"/>
              <w:widowControl w:val="0"/>
              <w:kinsoku/>
              <w:wordWrap/>
              <w:overflowPunct w:val="0"/>
              <w:autoSpaceDE/>
              <w:autoSpaceDN/>
              <w:bidi w:val="0"/>
              <w:snapToGrid w:val="0"/>
              <w:spacing w:line="360" w:lineRule="auto"/>
              <w:ind w:firstLine="482" w:firstLineChars="200"/>
              <w:textAlignment w:val="auto"/>
              <w:rPr>
                <w:rFonts w:ascii="Times New Roman" w:hAnsi="Times New Roman"/>
                <w:b/>
                <w:bCs w:val="0"/>
                <w:color w:val="auto"/>
                <w:sz w:val="24"/>
                <w:szCs w:val="22"/>
              </w:rPr>
            </w:pPr>
            <w:r>
              <w:rPr>
                <w:rFonts w:hint="eastAsia"/>
                <w:b/>
                <w:bCs w:val="0"/>
                <w:color w:val="auto"/>
                <w:sz w:val="24"/>
                <w:szCs w:val="22"/>
                <w:lang w:val="en-US" w:eastAsia="zh-CN"/>
              </w:rPr>
              <w:t>3、</w:t>
            </w:r>
            <w:r>
              <w:rPr>
                <w:rFonts w:ascii="Times New Roman" w:hAnsi="Times New Roman"/>
                <w:b/>
                <w:bCs w:val="0"/>
                <w:color w:val="auto"/>
                <w:sz w:val="24"/>
                <w:szCs w:val="22"/>
              </w:rPr>
              <w:t>与</w:t>
            </w:r>
            <w:r>
              <w:rPr>
                <w:rFonts w:hint="eastAsia" w:ascii="Times New Roman" w:hAnsi="Times New Roman"/>
                <w:b/>
                <w:bCs w:val="0"/>
                <w:color w:val="auto"/>
                <w:sz w:val="24"/>
                <w:szCs w:val="22"/>
              </w:rPr>
              <w:t>“</w:t>
            </w:r>
            <w:r>
              <w:rPr>
                <w:rFonts w:ascii="Times New Roman" w:hAnsi="Times New Roman"/>
                <w:b/>
                <w:bCs w:val="0"/>
                <w:color w:val="auto"/>
                <w:sz w:val="24"/>
                <w:szCs w:val="22"/>
              </w:rPr>
              <w:t>三线一单</w:t>
            </w:r>
            <w:r>
              <w:rPr>
                <w:rFonts w:hint="eastAsia" w:ascii="Times New Roman" w:hAnsi="Times New Roman"/>
                <w:b/>
                <w:bCs w:val="0"/>
                <w:color w:val="auto"/>
                <w:sz w:val="24"/>
                <w:szCs w:val="22"/>
              </w:rPr>
              <w:t>”</w:t>
            </w:r>
            <w:r>
              <w:rPr>
                <w:rFonts w:ascii="Times New Roman" w:hAnsi="Times New Roman"/>
                <w:b/>
                <w:bCs w:val="0"/>
                <w:color w:val="auto"/>
                <w:sz w:val="24"/>
                <w:szCs w:val="22"/>
              </w:rPr>
              <w:t>符合性分析</w:t>
            </w:r>
          </w:p>
          <w:p>
            <w:pPr>
              <w:pStyle w:val="68"/>
              <w:widowControl w:val="0"/>
              <w:wordWrap w:val="0"/>
              <w:spacing w:line="360" w:lineRule="auto"/>
              <w:ind w:firstLine="480" w:firstLineChars="200"/>
              <w:jc w:val="both"/>
              <w:rPr>
                <w:rFonts w:hint="eastAsia" w:ascii="Times New Roman" w:hAnsi="Times New Roman" w:eastAsia="宋体" w:cs="Times New Roman"/>
                <w:color w:val="auto"/>
                <w:sz w:val="24"/>
                <w:lang w:val="en-US" w:eastAsia="zh-CN" w:bidi="ar-SA"/>
              </w:rPr>
            </w:pPr>
            <w:r>
              <w:rPr>
                <w:rFonts w:hint="eastAsia"/>
                <w:color w:val="000000" w:themeColor="text1"/>
                <w:sz w:val="24"/>
                <w:szCs w:val="24"/>
                <w14:textFill>
                  <w14:solidFill>
                    <w14:schemeClr w14:val="tx1"/>
                  </w14:solidFill>
                </w14:textFill>
              </w:rPr>
              <w:t>根据《青海省人民政府关于实施“三线一单”生态环境分区管控的通知》</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海东市</w:t>
            </w:r>
            <w:r>
              <w:rPr>
                <w:rFonts w:hint="eastAsia"/>
                <w:color w:val="000000" w:themeColor="text1"/>
                <w:sz w:val="24"/>
                <w:szCs w:val="24"/>
                <w14:textFill>
                  <w14:solidFill>
                    <w14:schemeClr w14:val="tx1"/>
                  </w14:solidFill>
                </w14:textFill>
              </w:rPr>
              <w:t>“三线一单”</w:t>
            </w:r>
            <w:r>
              <w:rPr>
                <w:rFonts w:hint="eastAsia"/>
                <w:color w:val="000000" w:themeColor="text1"/>
                <w:sz w:val="24"/>
                <w:szCs w:val="24"/>
                <w:lang w:val="en-US" w:eastAsia="zh-CN"/>
                <w14:textFill>
                  <w14:solidFill>
                    <w14:schemeClr w14:val="tx1"/>
                  </w14:solidFill>
                </w14:textFill>
              </w:rPr>
              <w:t>以及乐都区</w:t>
            </w:r>
            <w:r>
              <w:rPr>
                <w:rFonts w:hint="eastAsia"/>
                <w:color w:val="000000" w:themeColor="text1"/>
                <w:sz w:val="24"/>
                <w:szCs w:val="24"/>
                <w14:textFill>
                  <w14:solidFill>
                    <w14:schemeClr w14:val="tx1"/>
                  </w14:solidFill>
                </w14:textFill>
              </w:rPr>
              <w:t>“三线一单”中关于环境管控单元的划分，将全省行政区域从生态环境保护角度划分为优先保护单元、重点管控单元、一般管控单元三类环境管控单元。</w:t>
            </w:r>
            <w:r>
              <w:rPr>
                <w:rFonts w:hint="eastAsia"/>
                <w:color w:val="000000" w:themeColor="text1"/>
                <w:sz w:val="24"/>
                <w:szCs w:val="24"/>
                <w:lang w:val="en-US" w:eastAsia="zh-CN"/>
                <w14:textFill>
                  <w14:solidFill>
                    <w14:schemeClr w14:val="tx1"/>
                  </w14:solidFill>
                </w14:textFill>
              </w:rPr>
              <w:t>通过青海“三线一单”青海公众应用平台查询，本项目涉及的管控区域为：乐都区城镇空间01（ZH63020220001）</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管控编码ZD333，</w:t>
            </w:r>
            <w:r>
              <w:rPr>
                <w:color w:val="000000" w:themeColor="text1"/>
                <w:kern w:val="0"/>
                <w:sz w:val="24"/>
                <w14:textFill>
                  <w14:solidFill>
                    <w14:schemeClr w14:val="tx1"/>
                  </w14:solidFill>
                </w14:textFill>
              </w:rPr>
              <w:t>具体内容如下表：</w:t>
            </w:r>
          </w:p>
          <w:p>
            <w:pPr>
              <w:keepNext/>
              <w:keepLines/>
              <w:pageBreakBefore w:val="0"/>
              <w:widowControl w:val="0"/>
              <w:bidi w:val="0"/>
              <w:jc w:val="center"/>
              <w:rPr>
                <w:rFonts w:hint="eastAsia" w:ascii="Times New Roman" w:hAnsi="Times New Roman" w:eastAsia="宋体" w:cs="Times New Roman"/>
                <w:b/>
                <w:color w:val="auto"/>
                <w:kern w:val="2"/>
                <w:sz w:val="24"/>
                <w:szCs w:val="24"/>
                <w:lang w:val="en-US" w:eastAsia="zh-CN" w:bidi="ar-SA"/>
              </w:rPr>
            </w:pPr>
            <w:r>
              <w:rPr>
                <w:rFonts w:hint="eastAsia" w:ascii="Times New Roman" w:hAnsi="Times New Roman" w:eastAsia="宋体" w:cs="Times New Roman"/>
                <w:b/>
                <w:color w:val="auto"/>
                <w:kern w:val="2"/>
                <w:sz w:val="24"/>
                <w:szCs w:val="24"/>
                <w:lang w:val="en-US" w:eastAsia="zh-CN" w:bidi="ar-SA"/>
              </w:rPr>
              <w:t>表1-1 项目与</w:t>
            </w:r>
            <w:r>
              <w:rPr>
                <w:rFonts w:hint="eastAsia" w:cs="Times New Roman"/>
                <w:b/>
                <w:color w:val="auto"/>
                <w:kern w:val="2"/>
                <w:sz w:val="24"/>
                <w:szCs w:val="24"/>
                <w:lang w:val="en-US" w:eastAsia="zh-CN" w:bidi="ar-SA"/>
              </w:rPr>
              <w:t>乐都区</w:t>
            </w:r>
            <w:r>
              <w:rPr>
                <w:rFonts w:hint="eastAsia" w:ascii="Times New Roman" w:hAnsi="Times New Roman" w:eastAsia="宋体" w:cs="Times New Roman"/>
                <w:b/>
                <w:color w:val="auto"/>
                <w:kern w:val="2"/>
                <w:sz w:val="24"/>
                <w:szCs w:val="24"/>
                <w:lang w:val="en-US" w:eastAsia="zh-CN" w:bidi="ar-SA"/>
              </w:rPr>
              <w:t>“三线一单”的相符性分析表</w:t>
            </w:r>
          </w:p>
          <w:tbl>
            <w:tblPr>
              <w:tblStyle w:val="22"/>
              <w:tblW w:w="4997" w:type="pct"/>
              <w:tblInd w:w="-2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3368"/>
              <w:gridCol w:w="30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34" w:type="pct"/>
                  <w:gridSpan w:val="2"/>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ascii="宋体" w:hAnsi="宋体" w:eastAsia="宋体" w:cs="宋体"/>
                      <w:b/>
                      <w:bCs/>
                      <w:color w:val="auto"/>
                      <w:sz w:val="21"/>
                      <w:szCs w:val="21"/>
                      <w:lang w:val="en-US" w:eastAsia="zh-CN" w:bidi="ar-SA"/>
                    </w:rPr>
                  </w:pPr>
                  <w:r>
                    <w:rPr>
                      <w:rFonts w:hint="eastAsia"/>
                      <w:color w:val="000000" w:themeColor="text1"/>
                      <w:sz w:val="21"/>
                      <w:szCs w:val="21"/>
                      <w:lang w:val="en-US" w:eastAsia="zh-CN"/>
                      <w14:textFill>
                        <w14:solidFill>
                          <w14:schemeClr w14:val="tx1"/>
                        </w14:solidFill>
                      </w14:textFill>
                    </w:rPr>
                    <w:t>乐都区城镇空间01（ZH63020220001）</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ascii="宋体" w:hAnsi="宋体" w:eastAsia="宋体" w:cs="宋体"/>
                      <w:b/>
                      <w:bCs/>
                      <w:color w:val="auto"/>
                      <w:sz w:val="21"/>
                      <w:szCs w:val="21"/>
                      <w:lang w:val="en-US" w:eastAsia="zh-CN" w:bidi="ar-SA"/>
                    </w:rPr>
                  </w:pPr>
                  <w:r>
                    <w:rPr>
                      <w:rFonts w:hint="eastAsia" w:ascii="宋体" w:hAnsi="宋体" w:eastAsia="宋体" w:cs="宋体"/>
                      <w:b/>
                      <w:bCs/>
                      <w:color w:val="auto"/>
                      <w:sz w:val="21"/>
                      <w:szCs w:val="21"/>
                      <w:lang w:val="en-US" w:eastAsia="zh-CN" w:bidi="ar-SA"/>
                    </w:rPr>
                    <w:t>本项目符合性分析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restar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both"/>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空间布局约束</w:t>
                  </w: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按照《中华人民共和国畜牧法》、《畜禽规模养殖污染防治条例》、《畜禽养殖禁养区划定技术指南》、《乐都区畜禽养殖禁养区划定优化方案》等法律法规政策，禁止在城镇居民区、文化教育科学研究区等人口集中区域及法律、 法规规定的其他禁养区域内建设畜禽养殖场、养殖小区；畜禽标准化规模养殖场须建设粪污无害化处理设施。</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default" w:ascii="Times New Roman" w:hAnsi="Times New Roman" w:cs="Times New Roman"/>
                      <w:bCs/>
                      <w:color w:val="auto"/>
                      <w:sz w:val="21"/>
                      <w:szCs w:val="21"/>
                      <w:lang w:val="en-US" w:eastAsia="zh-CN"/>
                    </w:rPr>
                    <w:t>本项目为普通</w:t>
                  </w:r>
                  <w:r>
                    <w:rPr>
                      <w:rFonts w:hint="eastAsia" w:cs="Times New Roman"/>
                      <w:bCs/>
                      <w:color w:val="auto"/>
                      <w:sz w:val="21"/>
                      <w:szCs w:val="21"/>
                      <w:lang w:val="en-US" w:eastAsia="zh-CN"/>
                    </w:rPr>
                    <w:t>初中、</w:t>
                  </w:r>
                  <w:r>
                    <w:rPr>
                      <w:rFonts w:hint="eastAsia" w:ascii="Times New Roman" w:hAnsi="Times New Roman" w:cs="Times New Roman"/>
                      <w:bCs/>
                      <w:color w:val="auto"/>
                      <w:sz w:val="21"/>
                      <w:szCs w:val="21"/>
                      <w:lang w:val="en-US" w:eastAsia="zh-CN"/>
                    </w:rPr>
                    <w:t>高中</w:t>
                  </w:r>
                  <w:r>
                    <w:rPr>
                      <w:rFonts w:hint="default" w:ascii="Times New Roman" w:hAnsi="Times New Roman" w:cs="Times New Roman"/>
                      <w:bCs/>
                      <w:color w:val="auto"/>
                      <w:sz w:val="21"/>
                      <w:szCs w:val="21"/>
                      <w:lang w:val="en-US" w:eastAsia="zh-CN"/>
                    </w:rPr>
                    <w:t>教育学校建设项目</w:t>
                  </w:r>
                  <w:r>
                    <w:rPr>
                      <w:rFonts w:hint="eastAsia" w:ascii="宋体" w:hAnsi="宋体" w:eastAsia="宋体" w:cs="宋体"/>
                      <w:color w:val="auto"/>
                      <w:sz w:val="21"/>
                      <w:szCs w:val="21"/>
                      <w:lang w:val="en-US" w:eastAsia="zh-CN" w:bidi="ar-SA"/>
                    </w:rPr>
                    <w:t>，不在上述管控要求之列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continue"/>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2.禁止在城镇建成区、湟水河干流及湿地周边 1 公里内新建生物肥料加工企业。</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本项目为</w:t>
                  </w:r>
                  <w:r>
                    <w:rPr>
                      <w:rFonts w:hint="default" w:ascii="Times New Roman" w:hAnsi="Times New Roman" w:cs="Times New Roman"/>
                      <w:bCs/>
                      <w:color w:val="auto"/>
                      <w:sz w:val="21"/>
                      <w:szCs w:val="21"/>
                      <w:lang w:val="en-US" w:eastAsia="zh-CN"/>
                    </w:rPr>
                    <w:t>普通</w:t>
                  </w:r>
                  <w:r>
                    <w:rPr>
                      <w:rFonts w:hint="eastAsia" w:cs="Times New Roman"/>
                      <w:bCs/>
                      <w:color w:val="auto"/>
                      <w:sz w:val="21"/>
                      <w:szCs w:val="21"/>
                      <w:lang w:val="en-US" w:eastAsia="zh-CN"/>
                    </w:rPr>
                    <w:t>初中、</w:t>
                  </w:r>
                  <w:r>
                    <w:rPr>
                      <w:rFonts w:hint="eastAsia" w:ascii="Times New Roman" w:hAnsi="Times New Roman" w:cs="Times New Roman"/>
                      <w:bCs/>
                      <w:color w:val="auto"/>
                      <w:sz w:val="21"/>
                      <w:szCs w:val="21"/>
                      <w:lang w:val="en-US" w:eastAsia="zh-CN"/>
                    </w:rPr>
                    <w:t>高中</w:t>
                  </w:r>
                  <w:r>
                    <w:rPr>
                      <w:rFonts w:hint="default" w:ascii="Times New Roman" w:hAnsi="Times New Roman" w:cs="Times New Roman"/>
                      <w:bCs/>
                      <w:color w:val="auto"/>
                      <w:sz w:val="21"/>
                      <w:szCs w:val="21"/>
                      <w:lang w:val="en-US" w:eastAsia="zh-CN"/>
                    </w:rPr>
                    <w:t>教育学校建设项目</w:t>
                  </w:r>
                  <w:r>
                    <w:rPr>
                      <w:rFonts w:hint="eastAsia" w:ascii="宋体" w:hAnsi="宋体" w:eastAsia="宋体" w:cs="宋体"/>
                      <w:color w:val="auto"/>
                      <w:sz w:val="21"/>
                      <w:szCs w:val="21"/>
                      <w:lang w:val="en-US" w:eastAsia="zh-CN" w:bidi="ar-SA"/>
                    </w:rPr>
                    <w:t>，符合要求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continue"/>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3.新建企业须严格按照规划产业定位在产业园区布局，现有具备条件的企业务必尽快入园；不具备入园条件的企业须配套建设符合国家相关标准要求的环保设施。</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本项目不属于工业企业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continue"/>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4.有序退出已达到设计使用年限的小水电项目。</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不涉及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continue"/>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p>
              </w:tc>
              <w:tc>
                <w:tcPr>
                  <w:tcW w:w="2408" w:type="pct"/>
                  <w:tcBorders>
                    <w:tl2br w:val="nil"/>
                    <w:tr2bl w:val="nil"/>
                  </w:tcBorders>
                  <w:vAlign w:val="center"/>
                </w:tcPr>
                <w:p>
                  <w:pPr>
                    <w:keepNext w:val="0"/>
                    <w:keepLines w:val="0"/>
                    <w:widowControl/>
                    <w:suppressLineNumbers w:val="0"/>
                    <w:jc w:val="left"/>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 xml:space="preserve">5. </w:t>
                  </w:r>
                  <w:r>
                    <w:rPr>
                      <w:rFonts w:hint="eastAsia" w:ascii="宋体" w:hAnsi="宋体" w:eastAsia="宋体" w:cs="宋体"/>
                      <w:color w:val="000000"/>
                      <w:kern w:val="0"/>
                      <w:sz w:val="20"/>
                      <w:szCs w:val="20"/>
                      <w:lang w:val="en-US" w:eastAsia="zh-CN" w:bidi="ar"/>
                    </w:rPr>
                    <w:t>执行海东市生态环境管控要求中第十八条关于河湟地区空间布局约束的准入要求：</w:t>
                  </w:r>
                  <w:r>
                    <w:rPr>
                      <w:rFonts w:hint="eastAsia" w:ascii="宋体" w:hAnsi="宋体" w:eastAsia="宋体" w:cs="宋体"/>
                      <w:color w:val="auto"/>
                      <w:sz w:val="21"/>
                      <w:szCs w:val="21"/>
                      <w:lang w:val="en-US" w:eastAsia="zh-CN" w:bidi="ar-SA"/>
                    </w:rPr>
                    <w:t>禁止在湟水流域新建、扩建水电站，以及造纸、鞣革等严重污染环境的项目。在湟水干流（源头至海晏段）禁止河道采砂挖石，禁止过度放牧、无序采矿、毁林开荒、开垦草原等。在湟水干流（海晏至西宁段）禁止破坏地方土著鱼类生息繁衍水域，禁止新建、扩建高耗能、高污染工业项目。</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本项目不属于水电站，以及造纸、鞣革等严重污染环境的项目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both"/>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污染物排放管控</w:t>
                  </w: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right="0" w:rightChars="0" w:firstLine="0" w:firstLineChars="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restar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both"/>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环境风险防控</w:t>
                  </w: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1.制定环境风险应急预案，成立应急组织机构，定期开展应急风险防范演练。</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本项目建成后将编制突发环境应急预案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vMerge w:val="continue"/>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eastAsia" w:ascii="宋体" w:hAnsi="宋体" w:eastAsia="宋体" w:cs="宋体"/>
                      <w:color w:val="auto"/>
                      <w:sz w:val="21"/>
                      <w:szCs w:val="21"/>
                      <w:lang w:val="en-US" w:eastAsia="zh-CN" w:bidi="ar-SA"/>
                    </w:rPr>
                  </w:pP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left"/>
                    <w:textAlignment w:val="baseline"/>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2.生产、存储危险化学品及产生大量废水的企事业单位，应当采取措施，防止在处理安全生产事故过程中产生的可能严重污染水体的生产废水、消防废水、废液直接排入水体。</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本项目实验室使用的化学试剂很少，均为小型瓶装，实验废水经过实验室废水处理装置处理后排入化粪池，</w:t>
                  </w:r>
                  <w:r>
                    <w:rPr>
                      <w:rFonts w:hint="eastAsia" w:ascii="宋体" w:hAnsi="宋体" w:cs="宋体"/>
                      <w:color w:val="auto"/>
                      <w:sz w:val="21"/>
                      <w:szCs w:val="21"/>
                      <w:lang w:val="en-US" w:eastAsia="zh-CN" w:bidi="ar-SA"/>
                    </w:rPr>
                    <w:t>不会严重威胁周边水环境。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6"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ind w:left="0" w:leftChars="0" w:firstLine="0" w:firstLineChars="0"/>
                    <w:jc w:val="both"/>
                    <w:textAlignment w:val="baseline"/>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资源开发效率要求</w:t>
                  </w:r>
                </w:p>
              </w:tc>
              <w:tc>
                <w:tcPr>
                  <w:tcW w:w="2408"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left"/>
                    <w:textAlignment w:val="baseline"/>
                    <w:rPr>
                      <w:rFonts w:hint="default" w:ascii="宋体" w:hAnsi="宋体" w:eastAsia="宋体" w:cs="宋体"/>
                      <w:color w:val="auto"/>
                      <w:sz w:val="21"/>
                      <w:szCs w:val="21"/>
                      <w:lang w:val="en-US" w:eastAsia="zh-CN" w:bidi="ar-SA"/>
                    </w:rPr>
                  </w:pPr>
                  <w:r>
                    <w:rPr>
                      <w:rFonts w:hint="eastAsia" w:ascii="宋体" w:hAnsi="宋体" w:cs="宋体"/>
                      <w:color w:val="auto"/>
                      <w:sz w:val="21"/>
                      <w:szCs w:val="21"/>
                      <w:lang w:val="en-US" w:eastAsia="zh-CN" w:bidi="ar-SA"/>
                    </w:rPr>
                    <w:t>/</w:t>
                  </w:r>
                </w:p>
              </w:tc>
              <w:tc>
                <w:tcPr>
                  <w:tcW w:w="2165" w:type="pct"/>
                  <w:tcBorders>
                    <w:tl2br w:val="nil"/>
                    <w:tr2bl w:val="nil"/>
                  </w:tcBorders>
                  <w:vAlign w:val="center"/>
                </w:tcPr>
                <w:p>
                  <w:pPr>
                    <w:keepNext/>
                    <w:keepLines/>
                    <w:pageBreakBefore w:val="0"/>
                    <w:widowControl/>
                    <w:kinsoku w:val="0"/>
                    <w:wordWrap/>
                    <w:overflowPunct/>
                    <w:topLinePunct/>
                    <w:autoSpaceDE w:val="0"/>
                    <w:autoSpaceDN w:val="0"/>
                    <w:bidi w:val="0"/>
                    <w:adjustRightInd w:val="0"/>
                    <w:snapToGrid w:val="0"/>
                    <w:jc w:val="center"/>
                    <w:textAlignment w:val="baseline"/>
                    <w:rPr>
                      <w:rFonts w:hint="default" w:ascii="宋体" w:hAnsi="宋体" w:eastAsia="宋体" w:cs="宋体"/>
                      <w:color w:val="auto"/>
                      <w:sz w:val="21"/>
                      <w:szCs w:val="21"/>
                      <w:lang w:val="en-US" w:eastAsia="zh-CN" w:bidi="ar-SA"/>
                    </w:rPr>
                  </w:pPr>
                  <w:r>
                    <w:rPr>
                      <w:rFonts w:hint="eastAsia" w:ascii="宋体" w:hAnsi="宋体" w:cs="宋体"/>
                      <w:color w:val="auto"/>
                      <w:sz w:val="21"/>
                      <w:szCs w:val="21"/>
                      <w:lang w:val="en-US" w:eastAsia="zh-CN" w:bidi="ar-SA"/>
                    </w:rPr>
                    <w:t>/</w:t>
                  </w:r>
                </w:p>
              </w:tc>
            </w:tr>
          </w:tbl>
          <w:p>
            <w:pPr>
              <w:keepNext/>
              <w:keepLines/>
              <w:pageBreakBefore w:val="0"/>
              <w:widowControl w:val="0"/>
              <w:kinsoku/>
              <w:wordWrap/>
              <w:autoSpaceDE/>
              <w:autoSpaceDN/>
              <w:bidi w:val="0"/>
              <w:snapToGrid w:val="0"/>
              <w:spacing w:line="360" w:lineRule="auto"/>
              <w:textAlignment w:val="auto"/>
              <w:rPr>
                <w:rFonts w:hint="eastAsia" w:ascii="Times New Roman" w:hAnsi="Times New Roman" w:eastAsia="宋体" w:cs="Times New Roman"/>
                <w:color w:val="auto"/>
                <w:sz w:val="24"/>
                <w:szCs w:val="20"/>
                <w:lang w:val="en-US" w:eastAsia="zh-CN"/>
              </w:rPr>
            </w:pPr>
          </w:p>
          <w:p>
            <w:pPr>
              <w:keepNext/>
              <w:keepLines/>
              <w:pageBreakBefore w:val="0"/>
              <w:widowControl w:val="0"/>
              <w:kinsoku/>
              <w:wordWrap/>
              <w:overflowPunct/>
              <w:topLinePunct w:val="0"/>
              <w:autoSpaceDE/>
              <w:autoSpaceDN/>
              <w:bidi w:val="0"/>
              <w:adjustRightInd w:val="0"/>
              <w:snapToGrid w:val="0"/>
              <w:spacing w:line="240" w:lineRule="auto"/>
              <w:ind w:firstLine="470" w:firstLineChars="196"/>
              <w:textAlignment w:val="auto"/>
              <w:rPr>
                <w:rFonts w:hint="default"/>
                <w:color w:val="auto"/>
                <w:sz w:val="24"/>
                <w:szCs w:val="20"/>
                <w:lang w:val="en-US" w:eastAsia="zh-CN"/>
              </w:rPr>
            </w:pPr>
          </w:p>
        </w:tc>
      </w:tr>
    </w:tbl>
    <w:p>
      <w:pPr>
        <w:keepNext/>
        <w:keepLines/>
        <w:pageBreakBefore w:val="0"/>
        <w:bidi w:val="0"/>
        <w:spacing w:line="360" w:lineRule="auto"/>
        <w:outlineLvl w:val="0"/>
        <w:rPr>
          <w:rFonts w:eastAsia="黑体"/>
          <w:color w:val="auto"/>
          <w:sz w:val="30"/>
        </w:rPr>
        <w:sectPr>
          <w:footerReference r:id="rId5" w:type="default"/>
          <w:pgSz w:w="11906" w:h="16838"/>
          <w:pgMar w:top="1701" w:right="1531" w:bottom="1701" w:left="1531" w:header="851" w:footer="1077" w:gutter="0"/>
          <w:pgBorders>
            <w:top w:val="none" w:sz="0" w:space="0"/>
            <w:left w:val="none" w:sz="0" w:space="0"/>
            <w:bottom w:val="none" w:sz="0" w:space="0"/>
            <w:right w:val="none" w:sz="0" w:space="0"/>
          </w:pgBorders>
          <w:pgNumType w:fmt="decimal" w:start="1"/>
          <w:cols w:space="720" w:num="1"/>
          <w:rtlGutter w:val="0"/>
          <w:docGrid w:type="lines" w:linePitch="298" w:charSpace="0"/>
        </w:sectPr>
      </w:pPr>
    </w:p>
    <w:p>
      <w:pPr>
        <w:pStyle w:val="17"/>
        <w:keepNext/>
        <w:keepLines/>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ascii="黑体" w:hAnsi="黑体" w:eastAsia="黑体"/>
          <w:snapToGrid w:val="0"/>
          <w:color w:val="auto"/>
          <w:sz w:val="30"/>
          <w:szCs w:val="30"/>
        </w:rPr>
      </w:pPr>
      <w:r>
        <w:rPr>
          <w:rFonts w:hint="eastAsia" w:ascii="黑体" w:hAnsi="黑体" w:eastAsia="黑体"/>
          <w:snapToGrid w:val="0"/>
          <w:color w:val="auto"/>
          <w:sz w:val="30"/>
          <w:szCs w:val="30"/>
        </w:rPr>
        <w:t>二、建设项目工程分析</w:t>
      </w:r>
    </w:p>
    <w:tbl>
      <w:tblPr>
        <w:tblStyle w:val="21"/>
        <w:tblW w:w="90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5"/>
        <w:gridCol w:w="85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noWrap w:val="0"/>
            <w:vAlign w:val="center"/>
          </w:tcPr>
          <w:p>
            <w:pPr>
              <w:pStyle w:val="17"/>
              <w:keepNext/>
              <w:keepLines/>
              <w:pageBreakBefore w:val="0"/>
              <w:bidi w:val="0"/>
              <w:adjustRightInd w:val="0"/>
              <w:snapToGrid w:val="0"/>
              <w:spacing w:before="0" w:beforeAutospacing="0" w:after="0" w:afterAutospacing="0"/>
              <w:jc w:val="center"/>
              <w:rPr>
                <w:rFonts w:cs="宋体"/>
                <w:color w:val="auto"/>
                <w:sz w:val="21"/>
                <w:szCs w:val="21"/>
              </w:rPr>
            </w:pPr>
            <w:r>
              <w:rPr>
                <w:rFonts w:hint="eastAsia" w:cs="宋体"/>
                <w:color w:val="auto"/>
                <w:sz w:val="21"/>
                <w:szCs w:val="21"/>
              </w:rPr>
              <w:t>建设内容</w:t>
            </w:r>
          </w:p>
        </w:tc>
        <w:tc>
          <w:tcPr>
            <w:tcW w:w="8599" w:type="dxa"/>
            <w:noWrap w:val="0"/>
            <w:vAlign w:val="top"/>
          </w:tcPr>
          <w:p>
            <w:pPr>
              <w:keepNext/>
              <w:keepLines/>
              <w:pageBreakBefore w:val="0"/>
              <w:bidi w:val="0"/>
              <w:spacing w:line="360" w:lineRule="auto"/>
              <w:ind w:firstLine="482" w:firstLineChars="200"/>
              <w:rPr>
                <w:rFonts w:hint="default" w:ascii="Times New Roman" w:hAnsi="Times New Roman" w:eastAsia="宋体" w:cs="Times New Roman"/>
                <w:b/>
                <w:color w:val="auto"/>
                <w:sz w:val="24"/>
                <w:lang w:eastAsia="zh-CN"/>
              </w:rPr>
            </w:pPr>
            <w:r>
              <w:rPr>
                <w:rFonts w:hint="default" w:ascii="Times New Roman" w:hAnsi="Times New Roman" w:eastAsia="宋体" w:cs="Times New Roman"/>
                <w:b/>
                <w:color w:val="auto"/>
                <w:sz w:val="24"/>
                <w:lang w:val="en-US" w:eastAsia="zh-CN"/>
              </w:rPr>
              <w:t>1</w:t>
            </w:r>
            <w:r>
              <w:rPr>
                <w:rFonts w:hint="default" w:ascii="Times New Roman" w:hAnsi="Times New Roman" w:eastAsia="宋体" w:cs="Times New Roman"/>
                <w:b/>
                <w:color w:val="auto"/>
                <w:sz w:val="24"/>
                <w:lang w:eastAsia="zh-CN"/>
              </w:rPr>
              <w:t>、项目建设背景</w:t>
            </w:r>
          </w:p>
          <w:p>
            <w:pPr>
              <w:keepNext/>
              <w:keepLines/>
              <w:pageBreakBefore w:val="0"/>
              <w:bidi w:val="0"/>
              <w:spacing w:line="360" w:lineRule="auto"/>
              <w:ind w:firstLine="480" w:firstLineChars="200"/>
              <w:rPr>
                <w:rFonts w:hint="default" w:ascii="Times New Roman" w:hAnsi="Times New Roman" w:eastAsia="宋体" w:cs="Times New Roman"/>
                <w:color w:val="auto"/>
                <w:sz w:val="24"/>
                <w:lang w:eastAsia="zh-CN"/>
              </w:rPr>
            </w:pPr>
            <w:r>
              <w:rPr>
                <w:rFonts w:hint="default" w:ascii="Times New Roman" w:hAnsi="Times New Roman" w:eastAsia="宋体" w:cs="Times New Roman"/>
                <w:color w:val="auto"/>
                <w:sz w:val="24"/>
                <w:lang w:val="en-US" w:eastAsia="zh-CN"/>
              </w:rPr>
              <w:t>果洛海东中学的建设地点位于青海省海东市乐都区，本项目的建设正是以国家、省内教育发展政策为指引，借助海东市乐都区优越地理位置、宜居的气候条件、浓厚的学术环境、良好的学习氛围，解决果洛州由于地处三江源腹地、海拔高、自然环境恶劣、交通偏远，从而造成人才匮乏、师资队伍不稳定，优秀教师“引进难，难留住”，致使教育发展滞后，教学质量不高的问题</w:t>
            </w:r>
            <w:r>
              <w:rPr>
                <w:rFonts w:hint="eastAsia" w:cs="Times New Roman"/>
                <w:color w:val="auto"/>
                <w:sz w:val="24"/>
                <w:lang w:val="en-US" w:eastAsia="zh-CN"/>
              </w:rPr>
              <w:t>。</w:t>
            </w:r>
            <w:r>
              <w:rPr>
                <w:rFonts w:hint="default" w:ascii="Times New Roman" w:hAnsi="Times New Roman" w:eastAsia="宋体" w:cs="Times New Roman"/>
                <w:color w:val="auto"/>
                <w:sz w:val="24"/>
                <w:lang w:val="en-US" w:eastAsia="zh-CN"/>
              </w:rPr>
              <w:t>同时随着初高中学业水平考试制度改革的深入推进，高考综合改革推行选课走班制，州内高中学位不足。通过本项目的建设可以弥补果洛州内基础教育资源不足，有利于与全省高考综合改革相衔接，为果洛地区学生提供更多交流、交融机会，从而推进果洛州教育高质量发展，提高教育公平化程度，满足人民群众日益增长的求学需求，为果洛州培养众多优秀人才，继而反哺果洛州社会，为果洛州经济社会发展注入活力。</w:t>
            </w:r>
          </w:p>
          <w:p>
            <w:pPr>
              <w:keepNext/>
              <w:keepLines/>
              <w:pageBreakBefore w:val="0"/>
              <w:bidi w:val="0"/>
              <w:spacing w:line="360" w:lineRule="auto"/>
              <w:ind w:firstLine="482" w:firstLineChars="200"/>
              <w:rPr>
                <w:rFonts w:hint="default" w:ascii="Times New Roman" w:hAnsi="Times New Roman" w:eastAsia="宋体" w:cs="Times New Roman"/>
                <w:b/>
                <w:color w:val="auto"/>
                <w:sz w:val="24"/>
                <w:lang w:val="en-US" w:eastAsia="zh-CN"/>
              </w:rPr>
            </w:pPr>
            <w:r>
              <w:rPr>
                <w:rFonts w:hint="default" w:ascii="Times New Roman" w:hAnsi="Times New Roman" w:eastAsia="宋体" w:cs="Times New Roman"/>
                <w:b/>
                <w:color w:val="auto"/>
                <w:sz w:val="24"/>
                <w:lang w:val="en-US" w:eastAsia="zh-CN"/>
              </w:rPr>
              <w:t>2</w:t>
            </w:r>
            <w:r>
              <w:rPr>
                <w:rFonts w:hint="default" w:ascii="Times New Roman" w:hAnsi="Times New Roman" w:eastAsia="宋体" w:cs="Times New Roman"/>
                <w:b/>
                <w:color w:val="auto"/>
                <w:sz w:val="24"/>
                <w:lang w:eastAsia="zh-CN"/>
              </w:rPr>
              <w:t>、</w:t>
            </w:r>
            <w:r>
              <w:rPr>
                <w:rFonts w:hint="default" w:ascii="Times New Roman" w:hAnsi="Times New Roman" w:eastAsia="宋体" w:cs="Times New Roman"/>
                <w:b/>
                <w:color w:val="auto"/>
                <w:sz w:val="24"/>
                <w:lang w:val="en-US" w:eastAsia="zh-CN"/>
              </w:rPr>
              <w:t>建设内容与规模</w:t>
            </w:r>
          </w:p>
          <w:p>
            <w:pPr>
              <w:keepNext/>
              <w:keepLines/>
              <w:pageBreakBefore w:val="0"/>
              <w:bidi w:val="0"/>
              <w:spacing w:line="360" w:lineRule="auto"/>
              <w:ind w:firstLine="480" w:firstLineChars="200"/>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本项目总占地面积为 134666.</w:t>
            </w:r>
            <w:r>
              <w:rPr>
                <w:rFonts w:hint="eastAsia" w:cs="Times New Roman"/>
                <w:bCs/>
                <w:color w:val="auto"/>
                <w:sz w:val="24"/>
                <w:lang w:val="en-US" w:eastAsia="zh-CN"/>
              </w:rPr>
              <w:t>7</w:t>
            </w:r>
            <w:r>
              <w:rPr>
                <w:rFonts w:hint="default" w:ascii="Times New Roman" w:hAnsi="Times New Roman" w:eastAsia="宋体" w:cs="Times New Roman"/>
                <w:bCs/>
                <w:color w:val="auto"/>
                <w:sz w:val="24"/>
                <w:lang w:val="en-US" w:eastAsia="zh-CN"/>
              </w:rPr>
              <w:t>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，总建筑面积为 80664 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，其中地上建筑面积 75164.00m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，地下建筑面积 5500.00m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。主要新建校舍8.07万平方米、400米标准运动场、教育装备、信息化设备及附属设施。新建规模约3000 人，设置 60 个教学班。</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rPr>
              <w:t>项目主要建设内容见表</w:t>
            </w:r>
            <w:r>
              <w:rPr>
                <w:rFonts w:hint="default" w:ascii="Times New Roman" w:hAnsi="Times New Roman" w:eastAsia="宋体" w:cs="Times New Roman"/>
                <w:bCs/>
                <w:color w:val="auto"/>
                <w:sz w:val="24"/>
                <w:lang w:val="en-US" w:eastAsia="zh-CN"/>
              </w:rPr>
              <w:t>2</w:t>
            </w:r>
            <w:r>
              <w:rPr>
                <w:rFonts w:hint="default" w:ascii="Times New Roman" w:hAnsi="Times New Roman" w:eastAsia="宋体" w:cs="Times New Roman"/>
                <w:bCs/>
                <w:color w:val="auto"/>
                <w:sz w:val="24"/>
              </w:rPr>
              <w:t>-</w:t>
            </w:r>
            <w:r>
              <w:rPr>
                <w:rFonts w:hint="default" w:ascii="Times New Roman" w:hAnsi="Times New Roman" w:eastAsia="宋体" w:cs="Times New Roman"/>
                <w:bCs/>
                <w:color w:val="auto"/>
                <w:sz w:val="24"/>
                <w:lang w:val="en-US" w:eastAsia="zh-CN"/>
              </w:rPr>
              <w:t>1</w:t>
            </w:r>
            <w:r>
              <w:rPr>
                <w:rFonts w:hint="default" w:ascii="Times New Roman" w:hAnsi="Times New Roman" w:eastAsia="宋体" w:cs="Times New Roman"/>
                <w:bCs/>
                <w:color w:val="auto"/>
                <w:sz w:val="24"/>
              </w:rPr>
              <w:t>。</w:t>
            </w:r>
          </w:p>
          <w:p>
            <w:pPr>
              <w:keepNext/>
              <w:keepLines/>
              <w:pageBreakBefore w:val="0"/>
              <w:bidi w:val="0"/>
              <w:spacing w:line="240" w:lineRule="auto"/>
              <w:ind w:firstLine="2951" w:firstLineChars="1400"/>
              <w:jc w:val="left"/>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rPr>
              <w:t xml:space="preserve">表 </w:t>
            </w:r>
            <w:r>
              <w:rPr>
                <w:rFonts w:hint="default" w:ascii="Times New Roman" w:hAnsi="Times New Roman" w:eastAsia="宋体" w:cs="Times New Roman"/>
                <w:b/>
                <w:color w:val="auto"/>
                <w:szCs w:val="21"/>
                <w:highlight w:val="none"/>
                <w:lang w:val="en-US" w:eastAsia="zh-CN"/>
              </w:rPr>
              <w:t>2</w:t>
            </w:r>
            <w:r>
              <w:rPr>
                <w:rFonts w:hint="default" w:ascii="Times New Roman" w:hAnsi="Times New Roman" w:eastAsia="宋体" w:cs="Times New Roman"/>
                <w:b/>
                <w:color w:val="auto"/>
                <w:szCs w:val="21"/>
                <w:highlight w:val="none"/>
              </w:rPr>
              <w:t>-</w:t>
            </w:r>
            <w:r>
              <w:rPr>
                <w:rFonts w:hint="default" w:ascii="Times New Roman" w:hAnsi="Times New Roman" w:eastAsia="宋体" w:cs="Times New Roman"/>
                <w:b/>
                <w:color w:val="auto"/>
                <w:szCs w:val="21"/>
                <w:highlight w:val="none"/>
                <w:lang w:val="en-US" w:eastAsia="zh-CN"/>
              </w:rPr>
              <w:t>1</w:t>
            </w:r>
            <w:r>
              <w:rPr>
                <w:rFonts w:hint="default" w:ascii="Times New Roman" w:hAnsi="Times New Roman" w:eastAsia="宋体" w:cs="Times New Roman"/>
                <w:b/>
                <w:color w:val="auto"/>
                <w:szCs w:val="21"/>
                <w:highlight w:val="none"/>
              </w:rPr>
              <w:t xml:space="preserve"> 项目主要建设内容一览表</w:t>
            </w:r>
          </w:p>
          <w:tbl>
            <w:tblPr>
              <w:tblStyle w:val="21"/>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952"/>
              <w:gridCol w:w="398"/>
              <w:gridCol w:w="936"/>
              <w:gridCol w:w="5182"/>
              <w:gridCol w:w="8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44" w:hRule="atLeast"/>
              </w:trPr>
              <w:tc>
                <w:tcPr>
                  <w:tcW w:w="57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项目工程</w:t>
                  </w:r>
                </w:p>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组成</w:t>
                  </w: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工程</w:t>
                  </w:r>
                </w:p>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名称</w:t>
                  </w:r>
                </w:p>
              </w:tc>
              <w:tc>
                <w:tcPr>
                  <w:tcW w:w="3102"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建设内容及规模</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建设</w:t>
                  </w:r>
                </w:p>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性质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64" w:hRule="atLeast"/>
              </w:trPr>
              <w:tc>
                <w:tcPr>
                  <w:tcW w:w="570" w:type="pct"/>
                  <w:vMerge w:val="restar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主体</w:t>
                  </w:r>
                </w:p>
                <w:p>
                  <w:pPr>
                    <w:pStyle w:val="28"/>
                    <w:keepNext/>
                    <w:keepLines/>
                    <w:pageBreakBefore w:val="0"/>
                    <w:bidi w:val="0"/>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工程</w:t>
                  </w:r>
                </w:p>
              </w:tc>
              <w:tc>
                <w:tcPr>
                  <w:tcW w:w="238" w:type="pct"/>
                  <w:vMerge w:val="restar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教学及辅助用房</w:t>
                  </w:r>
                </w:p>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1#教学楼</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建筑面积为10800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，地上四层，层高 4.2m，总高18.2m，采用框架结构，耐火等级二级，平面主要采用 8.7x6.0m 柱网，室内外高差 0.45m。主要设置有普通教室、社团活动室、物理实验室（位于1F，共2间，每间建筑面积为104.4m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）、化学实验室（位于1F，共1间，建筑面积为104.4m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）、阶梯合班教室（200人）、卫生间、储藏间、开水间、配电室、生物实验室（位于2F，共1间，建筑面积为104.4m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）、机器人教室、办公室、年级会议室、书法教室、文化遗产手工制作教室、史地教室、劳动技术教室、美术教室。</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7"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2#教学楼</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建筑面积为10800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，地上四层，层高 4.2m，总高18.2m，采用框架结构，耐火等级二级，平面主要采用 8.7x6.0m 柱网，室内外高差 0.45m。主要设置有普通教室、社团活动室、物理实验室（位于2F，共2间，每间建筑面积为104.4m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）、化学实验室（位于1F，共2间，每间建筑面积为104.4m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）、阶梯合班教室（200人）、卫生间、储藏间、开水间、配电室、生物实验室（位于1F、2F各1间，共2间，每间建筑面积为104.4m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）、机器人教室、办公室、年级会议室、书法教室、文化遗产手工制作教室、史地教室、劳动技术教室、美术教室。</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图书综合楼</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图书</w:t>
                  </w:r>
                  <w:r>
                    <w:rPr>
                      <w:rFonts w:hint="default" w:ascii="Times New Roman" w:hAnsi="Times New Roman" w:eastAsia="宋体" w:cs="Times New Roman"/>
                      <w:color w:val="auto"/>
                      <w:lang w:val="en-US" w:eastAsia="zh-CN"/>
                    </w:rPr>
                    <w:t>综合楼为多层民用建筑，地下 1 层，地上 5 层，地下一层层高 4.5m，首层及二层层高 5.0m，三层至五层层高 4.3m，建筑高度为23.5m，总建筑面积14800m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设置有变电所、消防水池、排风机房、补风机房、图书阅览区、书库、心理咨询室、休息区、门厅、电梯厅、文印中心、储藏室、大厅、校史馆、文化展示区、爱国主义教育基地、信息技术教室、录播教室、通用技术教室、办公室、社团活动室、科技活动室、党建活动室、团建活动室、行政办公用房、信息中心机房、安全指挥中心机房、档案室、会议室、卫生间、设备间等。1#变电所</w:t>
                  </w:r>
                  <w:r>
                    <w:rPr>
                      <w:rFonts w:hint="eastAsia" w:ascii="Times New Roman" w:hAnsi="Times New Roman" w:cs="Times New Roman"/>
                      <w:color w:val="auto"/>
                      <w:lang w:val="en-US" w:eastAsia="zh-CN"/>
                    </w:rPr>
                    <w:t>位于图书综合楼负1楼，</w:t>
                  </w:r>
                  <w:r>
                    <w:rPr>
                      <w:rFonts w:hint="default" w:ascii="Times New Roman" w:hAnsi="Times New Roman" w:eastAsia="宋体" w:cs="Times New Roman"/>
                      <w:color w:val="auto"/>
                      <w:lang w:val="en-US" w:eastAsia="zh-CN"/>
                    </w:rPr>
                    <w:t>内设置2台1600KVA常用变压器，1 台 1000KVA 备用变压器</w:t>
                  </w:r>
                  <w:r>
                    <w:rPr>
                      <w:rFonts w:hint="eastAsia" w:ascii="Times New Roman" w:hAnsi="Times New Roman" w:cs="Times New Roman"/>
                      <w:color w:val="auto"/>
                      <w:lang w:val="en-US" w:eastAsia="zh-CN"/>
                    </w:rPr>
                    <w:t>；高压侧两路 10kV 电源进线，低压 0.4kV 侧采取单母线分段</w:t>
                  </w:r>
                  <w:r>
                    <w:rPr>
                      <w:rFonts w:hint="default" w:ascii="Times New Roman" w:hAnsi="Times New Roman" w:eastAsia="宋体" w:cs="Times New Roman"/>
                      <w:color w:val="auto"/>
                      <w:lang w:val="en-US" w:eastAsia="zh-CN"/>
                    </w:rPr>
                    <w:t>。</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艺体中心</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多层民用建筑，为地上二层，一层层高 5.0m，二层层高 9.0m，建筑高度为15.45m,框架结构，总建筑面积4350m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，主要设置有标准篮球场、羽毛球场、乒乓球台、体育器材库、办公室、舞蹈教室、更衣间、卫生间等用房。</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学术报告中心及餐饮中心</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both"/>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学术报告中心及餐饮中心为多层民用建筑，建筑面积为 10200.00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，地下 1 层，地上 2 层，建筑高度 15.60m，采用框架结构。主要设置有餐饮区、配电间、电信间、厨房、报告厅（700座）、舞台、排练室、更衣室、休息室、道具间、会议室、放映室、音响控制室、灯光控制室、补风机房、排风机房、卫生间、相关配套用房等。</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restar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生活及配套设施用房</w:t>
                  </w:r>
                </w:p>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p>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宿舍楼</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both"/>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男女宿舍楼为多层民用建筑，共有 5 层，层高 3.9m，建筑高度 21.50m，采用框架结构，建筑高度为 18.6m，总建筑面积20060m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，宿舍楼一层设置门厅、管理用房、垃圾收集间、洗衣房，淋浴间等功能用房，其余各层为宿舍及集中盥洗室及卫生间。</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教师宿舍楼</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教室宿舍为多层民用建筑，总建筑面积为 7650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 xml:space="preserve">，共有 6 层，建筑高度 21.50m，采用框架结构。共设置 20 </w:t>
                  </w:r>
                </w:p>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间套间和 194 件单间宿舍。</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锅炉房</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锅炉房为多层民用建筑，总建筑面积为 950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，共有 2 层，建筑高度 11.95m，采用框架结构。主要设置锅炉间、化验室、仪表校验间、控制室、值班室、燃气计量间、水处理间等。共设置4台锅炉，2台3.5MW（即5吨/台，互为备用）燃气热水炉供洗浴。2台5.6MW（即8吨/台，互为备用）燃气热水炉供采暖。以及</w:t>
                  </w:r>
                  <w:r>
                    <w:rPr>
                      <w:rFonts w:hint="eastAsia" w:ascii="Times New Roman" w:hAnsi="Times New Roman" w:cs="Times New Roman"/>
                      <w:color w:val="auto"/>
                      <w:lang w:val="en-US" w:eastAsia="zh-CN"/>
                    </w:rPr>
                    <w:t>1</w:t>
                  </w:r>
                  <w:r>
                    <w:rPr>
                      <w:rFonts w:hint="default" w:ascii="Times New Roman" w:hAnsi="Times New Roman" w:eastAsia="宋体" w:cs="Times New Roman"/>
                      <w:color w:val="auto"/>
                      <w:lang w:val="en-US" w:eastAsia="zh-CN"/>
                    </w:rPr>
                    <w:t>根26.5米高的排气筒</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jc w:val="center"/>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门卫、连廊、钟楼、主席台</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学校共设置 3 个门卫，其中南门 1#门卫建筑面积为 64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，建筑高度10.60m，北门 2#门卫建筑面积为 32m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，建筑高度 10.60m，东门 3#门卫建筑面积为 32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，建筑高度 6.60m。钟楼建筑面积为 24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 xml:space="preserve">，建筑高度 30m， </w:t>
                  </w:r>
                </w:p>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连廊建筑面积为 352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，建筑高度 7.95m。主席台下设器材存放室，建筑面积为 200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，建筑高度 6.75m。</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75"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560" w:type="pct"/>
                  <w:tcBorders>
                    <w:tl2br w:val="nil"/>
                    <w:tr2bl w:val="nil"/>
                  </w:tcBorders>
                  <w:noWrap w:val="0"/>
                  <w:vAlign w:val="center"/>
                </w:tcPr>
                <w:p>
                  <w:pPr>
                    <w:pStyle w:val="28"/>
                    <w:keepNext/>
                    <w:keepLines/>
                    <w:pageBreakBefore w:val="0"/>
                    <w:bidi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2#变电所</w:t>
                  </w:r>
                </w:p>
              </w:tc>
              <w:tc>
                <w:tcPr>
                  <w:tcW w:w="3102" w:type="pct"/>
                  <w:tcBorders>
                    <w:tl2br w:val="nil"/>
                    <w:tr2bl w:val="nil"/>
                  </w:tcBorders>
                  <w:noWrap w:val="0"/>
                  <w:vAlign w:val="center"/>
                </w:tcPr>
                <w:p>
                  <w:pPr>
                    <w:keepNext w:val="0"/>
                    <w:keepLines w:val="0"/>
                    <w:widowControl/>
                    <w:suppressLineNumbers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000000"/>
                      <w:kern w:val="0"/>
                      <w:sz w:val="21"/>
                      <w:szCs w:val="21"/>
                      <w:lang w:val="en-US" w:eastAsia="zh-CN" w:bidi="ar"/>
                    </w:rPr>
                    <w:t>变电所为单层民用建筑，建筑面积为 180 m</w:t>
                  </w:r>
                  <w:r>
                    <w:rPr>
                      <w:rFonts w:hint="default" w:ascii="Times New Roman" w:hAnsi="Times New Roman" w:eastAsia="宋体" w:cs="Times New Roman"/>
                      <w:color w:val="000000"/>
                      <w:kern w:val="0"/>
                      <w:sz w:val="21"/>
                      <w:szCs w:val="21"/>
                      <w:vertAlign w:val="superscript"/>
                      <w:lang w:val="en-US" w:eastAsia="zh-CN" w:bidi="ar"/>
                    </w:rPr>
                    <w:t>2</w:t>
                  </w:r>
                  <w:r>
                    <w:rPr>
                      <w:rFonts w:hint="default" w:ascii="Times New Roman" w:hAnsi="Times New Roman" w:eastAsia="宋体" w:cs="Times New Roman"/>
                      <w:color w:val="000000"/>
                      <w:kern w:val="0"/>
                      <w:sz w:val="21"/>
                      <w:szCs w:val="21"/>
                      <w:lang w:val="en-US" w:eastAsia="zh-CN" w:bidi="ar"/>
                    </w:rPr>
                    <w:t>，建筑高度 5.55m，采用框架结构。变电所设置置1台1600KVA常用变压器，1 台 400KVA 备用变压器</w:t>
                  </w:r>
                  <w:r>
                    <w:rPr>
                      <w:rFonts w:hint="eastAsia" w:cs="Times New Roman"/>
                      <w:color w:val="000000"/>
                      <w:kern w:val="0"/>
                      <w:sz w:val="21"/>
                      <w:szCs w:val="21"/>
                      <w:lang w:val="en-US" w:eastAsia="zh-CN" w:bidi="ar"/>
                    </w:rPr>
                    <w:t>,</w:t>
                  </w:r>
                  <w:r>
                    <w:rPr>
                      <w:rFonts w:hint="eastAsia" w:ascii="Times New Roman" w:hAnsi="Times New Roman" w:cs="Times New Roman"/>
                      <w:color w:val="auto"/>
                      <w:lang w:val="en-US" w:eastAsia="zh-CN"/>
                    </w:rPr>
                    <w:t>高压侧两路 10kV 电源进线，低压 0.4kV 侧采取单母线分段</w:t>
                  </w:r>
                  <w:r>
                    <w:rPr>
                      <w:rFonts w:hint="default" w:ascii="Times New Roman" w:hAnsi="Times New Roman" w:eastAsia="宋体" w:cs="Times New Roman"/>
                      <w:color w:val="000000"/>
                      <w:kern w:val="0"/>
                      <w:sz w:val="21"/>
                      <w:szCs w:val="21"/>
                      <w:lang w:val="en-US" w:eastAsia="zh-CN" w:bidi="ar"/>
                    </w:rPr>
                    <w:t>。</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75"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rPr>
                  </w:pPr>
                </w:p>
              </w:tc>
              <w:tc>
                <w:tcPr>
                  <w:tcW w:w="238"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rPr>
                  </w:pP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垃圾房</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 w:val="21"/>
                      <w:szCs w:val="21"/>
                      <w:lang w:val="en-US" w:eastAsia="zh-CN"/>
                    </w:rPr>
                    <w:t>垃圾房为单层民用建筑，建筑面积为 180 m</w:t>
                  </w:r>
                  <w:r>
                    <w:rPr>
                      <w:rFonts w:hint="default" w:ascii="Times New Roman" w:hAnsi="Times New Roman" w:eastAsia="宋体" w:cs="Times New Roman"/>
                      <w:color w:val="auto"/>
                      <w:sz w:val="21"/>
                      <w:szCs w:val="21"/>
                      <w:vertAlign w:val="superscript"/>
                      <w:lang w:val="en-US" w:eastAsia="zh-CN"/>
                    </w:rPr>
                    <w:t>2</w:t>
                  </w:r>
                  <w:r>
                    <w:rPr>
                      <w:rFonts w:hint="default" w:ascii="Times New Roman" w:hAnsi="Times New Roman" w:eastAsia="宋体" w:cs="Times New Roman"/>
                      <w:color w:val="auto"/>
                      <w:sz w:val="21"/>
                      <w:szCs w:val="21"/>
                      <w:lang w:val="en-US" w:eastAsia="zh-CN"/>
                    </w:rPr>
                    <w:t>，建筑高度 5.55m，采用框架结构。</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23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体育活动室</w:t>
                  </w:r>
                </w:p>
              </w:tc>
              <w:tc>
                <w:tcPr>
                  <w:tcW w:w="560"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风雨操场</w:t>
                  </w:r>
                </w:p>
                <w:p>
                  <w:pPr>
                    <w:pStyle w:val="28"/>
                    <w:keepNext/>
                    <w:keepLines/>
                    <w:pageBreakBefore w:val="0"/>
                    <w:bidi w:val="0"/>
                    <w:rPr>
                      <w:rFonts w:hint="default" w:ascii="Times New Roman" w:hAnsi="Times New Roman" w:eastAsia="宋体" w:cs="Times New Roman"/>
                      <w:color w:val="auto"/>
                    </w:rPr>
                  </w:pP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风雨操场为单层民用建筑，为地上一层，局部二层，框架结构，总建筑面积2837 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，其中一层主要设置有大厅、室内篮球场、器材室、体质测试室、卫生间、热计量间等用房，局部二层设有室内乒乓球场地、训练室、管理用房。</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围墙</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长1455.14m，宽0.37m，高4m，结构为铁艺。</w:t>
                  </w:r>
                </w:p>
              </w:tc>
              <w:tc>
                <w:tcPr>
                  <w:tcW w:w="528" w:type="pct"/>
                  <w:tcBorders>
                    <w:tl2br w:val="nil"/>
                    <w:tr2bl w:val="nil"/>
                  </w:tcBorders>
                  <w:noWrap w:val="0"/>
                  <w:vAlign w:val="center"/>
                </w:tcPr>
                <w:p>
                  <w:pPr>
                    <w:pStyle w:val="28"/>
                    <w:keepNext/>
                    <w:keepLines/>
                    <w:pageBreakBefore w:val="0"/>
                    <w:bidi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停车位</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本项目共建设机动车停车位130个（地上80个，地下50个）。</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570" w:type="pct"/>
                  <w:vMerge w:val="restar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公用</w:t>
                  </w:r>
                </w:p>
                <w:p>
                  <w:pPr>
                    <w:pStyle w:val="28"/>
                    <w:keepNext/>
                    <w:keepLines/>
                    <w:pageBreakBefore w:val="0"/>
                    <w:bidi w:val="0"/>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工程</w:t>
                  </w: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供水</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项目区西侧水磨营大街设有一根 DN300 市政给水管网，市政压力暂按0.30Mpa。本项目用水由 DN300 市政给水管接入，接入管管径为 DN200。</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排水</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本工程室外排水体制采用雨污分流制，生活污水经隔油（隔油池处理量为 50</w:t>
                  </w:r>
                  <w:r>
                    <w:rPr>
                      <w:rFonts w:hint="eastAsia" w:ascii="Times New Roman" w:hAnsi="Times New Roman" w:cs="Times New Roman"/>
                      <w:color w:val="auto"/>
                      <w:lang w:val="en-US" w:eastAsia="zh-CN"/>
                    </w:rPr>
                    <w:t>t</w:t>
                  </w:r>
                  <w:r>
                    <w:rPr>
                      <w:rFonts w:hint="default" w:ascii="Times New Roman" w:hAnsi="Times New Roman" w:eastAsia="宋体" w:cs="Times New Roman"/>
                      <w:color w:val="auto"/>
                      <w:lang w:val="en-US" w:eastAsia="zh-CN"/>
                    </w:rPr>
                    <w:t>/h）后与化学实验废水处理装置处理后的实验清洗废水一起排入化粪池，经化粪池预处理后，排入项目区北侧规划道路富兴路规划建设管网，排至污水处理厂处理；锅炉房产生的废水属于清净下水，可直接入市政</w:t>
                  </w:r>
                  <w:r>
                    <w:rPr>
                      <w:rFonts w:hint="eastAsia" w:ascii="Times New Roman" w:hAnsi="Times New Roman" w:cs="Times New Roman"/>
                      <w:color w:val="auto"/>
                      <w:lang w:val="en-US" w:eastAsia="zh-CN"/>
                    </w:rPr>
                    <w:t>污水</w:t>
                  </w:r>
                  <w:r>
                    <w:rPr>
                      <w:rFonts w:hint="default" w:ascii="Times New Roman" w:hAnsi="Times New Roman" w:eastAsia="宋体" w:cs="Times New Roman"/>
                      <w:color w:val="auto"/>
                      <w:lang w:val="en-US" w:eastAsia="zh-CN"/>
                    </w:rPr>
                    <w:t>管网；雨水经室外沟和管网收集后，排入项目北侧规划道路富兴路规划建设有 DN1000 市政雨水管。</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供电</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本项目用电电源可由南侧侧海东仁和 110KV 变电站为本项目提供两路 10KV 电源出线间隔。</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供热</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本项目建设地点天然气供气可由西侧水磨营大街市政燃气网接入。共设置4台锅炉，2台3.5MW（即5吨/台，互为备用）燃气热水炉供洗浴。2台5.6MW（即8吨/台，互为备用）燃气热水炉供采暖。</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7" w:hRule="atLeast"/>
              </w:trPr>
              <w:tc>
                <w:tcPr>
                  <w:tcW w:w="570" w:type="pct"/>
                  <w:vMerge w:val="restar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环保</w:t>
                  </w:r>
                </w:p>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工程</w:t>
                  </w: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废气</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实验室废气经试验台通风管引至楼顶高空排放，共计2栋教学楼，每栋楼设置</w:t>
                  </w:r>
                  <w:r>
                    <w:rPr>
                      <w:rFonts w:hint="eastAsia" w:ascii="Times New Roman" w:hAnsi="Times New Roman" w:cs="Times New Roman"/>
                      <w:color w:val="auto"/>
                      <w:lang w:val="en-US" w:eastAsia="zh-CN"/>
                    </w:rPr>
                    <w:t>1</w:t>
                  </w:r>
                  <w:r>
                    <w:rPr>
                      <w:rFonts w:hint="default" w:ascii="Times New Roman" w:hAnsi="Times New Roman" w:eastAsia="宋体" w:cs="Times New Roman"/>
                      <w:color w:val="auto"/>
                      <w:lang w:val="en-US" w:eastAsia="zh-CN"/>
                    </w:rPr>
                    <w:t>个排气筒；锅炉使用超低氮燃烧器，产生的废气通过</w:t>
                  </w:r>
                  <w:r>
                    <w:rPr>
                      <w:rFonts w:hint="eastAsia" w:ascii="Times New Roman" w:hAnsi="Times New Roman" w:cs="Times New Roman"/>
                      <w:color w:val="auto"/>
                      <w:lang w:val="en-US" w:eastAsia="zh-CN"/>
                    </w:rPr>
                    <w:t>1</w:t>
                  </w:r>
                  <w:r>
                    <w:rPr>
                      <w:rFonts w:hint="default" w:ascii="Times New Roman" w:hAnsi="Times New Roman" w:eastAsia="宋体" w:cs="Times New Roman"/>
                      <w:color w:val="auto"/>
                      <w:lang w:val="en-US" w:eastAsia="zh-CN"/>
                    </w:rPr>
                    <w:t>根26.5m高排气筒高空排放；食堂油烟经过油烟净化装置处理后屋顶排放；汽车尾气无组织排放。</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6"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废水</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本项目设置100立方的玻璃钢化粪池4座，化学实验室废水处理装置3台，实验清洗废水经处理后，再进入化粪池处理，生活污水经过隔油池（不锈钢材质，处理量为 50</w:t>
                  </w:r>
                  <w:r>
                    <w:rPr>
                      <w:rFonts w:hint="eastAsia" w:ascii="Times New Roman" w:hAnsi="Times New Roman" w:cs="Times New Roman"/>
                      <w:color w:val="auto"/>
                      <w:lang w:val="en-US" w:eastAsia="zh-CN"/>
                    </w:rPr>
                    <w:t>t</w:t>
                  </w:r>
                  <w:r>
                    <w:rPr>
                      <w:rFonts w:hint="default" w:ascii="Times New Roman" w:hAnsi="Times New Roman" w:eastAsia="宋体" w:cs="Times New Roman"/>
                      <w:color w:val="auto"/>
                      <w:lang w:val="en-US" w:eastAsia="zh-CN"/>
                    </w:rPr>
                    <w:t>/h）隔油后直接进入化粪池，最终汇入市政管网；锅炉房清净下水直接排入</w:t>
                  </w:r>
                  <w:r>
                    <w:rPr>
                      <w:rFonts w:hint="eastAsia" w:ascii="Times New Roman" w:hAnsi="Times New Roman" w:cs="Times New Roman"/>
                      <w:color w:val="auto"/>
                      <w:lang w:val="en-US" w:eastAsia="zh-CN"/>
                    </w:rPr>
                    <w:t>市政</w:t>
                  </w:r>
                  <w:r>
                    <w:rPr>
                      <w:rFonts w:hint="default" w:ascii="Times New Roman" w:hAnsi="Times New Roman" w:eastAsia="宋体" w:cs="Times New Roman"/>
                      <w:color w:val="auto"/>
                      <w:lang w:val="en-US" w:eastAsia="zh-CN"/>
                    </w:rPr>
                    <w:t>管网。</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噪声</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减震降噪、建筑隔声</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570" w:type="pct"/>
                  <w:vMerge w:val="continue"/>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p>
              </w:tc>
              <w:tc>
                <w:tcPr>
                  <w:tcW w:w="798" w:type="pct"/>
                  <w:gridSpan w:val="2"/>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固体废物</w:t>
                  </w:r>
                </w:p>
              </w:tc>
              <w:tc>
                <w:tcPr>
                  <w:tcW w:w="3102" w:type="pct"/>
                  <w:tcBorders>
                    <w:tl2br w:val="nil"/>
                    <w:tr2bl w:val="nil"/>
                  </w:tcBorders>
                  <w:noWrap w:val="0"/>
                  <w:vAlign w:val="center"/>
                </w:tcPr>
                <w:p>
                  <w:pPr>
                    <w:pStyle w:val="28"/>
                    <w:keepNext/>
                    <w:keepLines/>
                    <w:pageBreakBefore w:val="0"/>
                    <w:bidi w:val="0"/>
                    <w:jc w:val="left"/>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固体废物包括：生活垃圾分类收集后与实验室中的一般固废由当地环卫部门统一处理；锅炉房离子交换树脂属于一般固废由厂家更换时带走，不在校区储存；实验室废液收集到HDPE废液桶中与酸碱试剂瓶暂存于危废贮存库（5m</w:t>
                  </w:r>
                  <w:r>
                    <w:rPr>
                      <w:rFonts w:hint="default" w:ascii="Times New Roman" w:hAnsi="Times New Roman" w:eastAsia="宋体" w:cs="Times New Roman"/>
                      <w:color w:val="auto"/>
                      <w:vertAlign w:val="superscript"/>
                      <w:lang w:val="en-US" w:eastAsia="zh-CN"/>
                    </w:rPr>
                    <w:t>2</w:t>
                  </w:r>
                  <w:r>
                    <w:rPr>
                      <w:rFonts w:hint="default" w:ascii="Times New Roman" w:hAnsi="Times New Roman" w:eastAsia="宋体" w:cs="Times New Roman"/>
                      <w:color w:val="auto"/>
                      <w:lang w:val="en-US" w:eastAsia="zh-CN"/>
                    </w:rPr>
                    <w:t>），一起定期委托有资质单位处置。</w:t>
                  </w:r>
                </w:p>
              </w:tc>
              <w:tc>
                <w:tcPr>
                  <w:tcW w:w="528" w:type="pct"/>
                  <w:tcBorders>
                    <w:tl2br w:val="nil"/>
                    <w:tr2bl w:val="nil"/>
                  </w:tcBorders>
                  <w:noWrap w:val="0"/>
                  <w:vAlign w:val="center"/>
                </w:tcPr>
                <w:p>
                  <w:pPr>
                    <w:pStyle w:val="28"/>
                    <w:keepNext/>
                    <w:keepLines/>
                    <w:pageBreakBefore w:val="0"/>
                    <w:bidi w:val="0"/>
                    <w:rPr>
                      <w:rFonts w:hint="default" w:ascii="Times New Roman" w:hAnsi="Times New Roman" w:eastAsia="宋体" w:cs="Times New Roman"/>
                      <w:color w:val="auto"/>
                    </w:rPr>
                  </w:pPr>
                  <w:r>
                    <w:rPr>
                      <w:rFonts w:hint="default" w:ascii="Times New Roman" w:hAnsi="Times New Roman" w:eastAsia="宋体" w:cs="Times New Roman"/>
                      <w:color w:val="auto"/>
                    </w:rPr>
                    <w:t>新建</w:t>
                  </w:r>
                </w:p>
              </w:tc>
            </w:tr>
          </w:tbl>
          <w:p>
            <w:pPr>
              <w:keepNext/>
              <w:keepLines/>
              <w:pageBreakBefore w:val="0"/>
              <w:bidi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项目</w:t>
            </w:r>
            <w:r>
              <w:rPr>
                <w:rFonts w:hint="default" w:ascii="Times New Roman" w:hAnsi="Times New Roman" w:eastAsia="宋体" w:cs="Times New Roman"/>
                <w:color w:val="auto"/>
                <w:sz w:val="24"/>
                <w:lang w:val="en-US" w:eastAsia="zh-CN"/>
              </w:rPr>
              <w:t>主要经济技术指标</w:t>
            </w:r>
            <w:r>
              <w:rPr>
                <w:rFonts w:hint="default" w:ascii="Times New Roman" w:hAnsi="Times New Roman" w:eastAsia="宋体" w:cs="Times New Roman"/>
                <w:color w:val="auto"/>
                <w:sz w:val="24"/>
              </w:rPr>
              <w:t>详见表</w:t>
            </w:r>
            <w:r>
              <w:rPr>
                <w:rFonts w:hint="default" w:ascii="Times New Roman" w:hAnsi="Times New Roman" w:eastAsia="宋体" w:cs="Times New Roman"/>
                <w:color w:val="auto"/>
                <w:sz w:val="24"/>
                <w:lang w:val="en-US" w:eastAsia="zh-CN"/>
              </w:rPr>
              <w:t>2</w:t>
            </w:r>
            <w:r>
              <w:rPr>
                <w:rFonts w:hint="default" w:ascii="Times New Roman" w:hAnsi="Times New Roman" w:eastAsia="宋体" w:cs="Times New Roman"/>
                <w:color w:val="auto"/>
                <w:sz w:val="24"/>
              </w:rPr>
              <w:t>-</w:t>
            </w:r>
            <w:r>
              <w:rPr>
                <w:rFonts w:hint="default" w:ascii="Times New Roman" w:hAnsi="Times New Roman" w:eastAsia="宋体" w:cs="Times New Roman"/>
                <w:color w:val="auto"/>
                <w:sz w:val="24"/>
                <w:lang w:val="en-US" w:eastAsia="zh-CN"/>
              </w:rPr>
              <w:t>2</w:t>
            </w:r>
            <w:r>
              <w:rPr>
                <w:rFonts w:hint="default" w:ascii="Times New Roman" w:hAnsi="Times New Roman" w:eastAsia="宋体" w:cs="Times New Roman"/>
                <w:color w:val="auto"/>
                <w:sz w:val="24"/>
              </w:rPr>
              <w:t>。</w:t>
            </w:r>
          </w:p>
          <w:p>
            <w:pPr>
              <w:keepNext/>
              <w:keepLines/>
              <w:pageBreakBefore w:val="0"/>
              <w:bidi w:val="0"/>
              <w:spacing w:line="240" w:lineRule="auto"/>
              <w:ind w:firstLine="3162" w:firstLineChars="1500"/>
              <w:jc w:val="left"/>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表 2-2 主要经济技术指标</w:t>
            </w:r>
          </w:p>
          <w:tbl>
            <w:tblPr>
              <w:tblStyle w:val="66"/>
              <w:tblW w:w="8278"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961"/>
              <w:gridCol w:w="1687"/>
              <w:gridCol w:w="1329"/>
              <w:gridCol w:w="906"/>
              <w:gridCol w:w="339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5"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序号</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项目名称</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指标</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单位</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24" w:lineRule="exact"/>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position w:val="-3"/>
                      <w:sz w:val="21"/>
                      <w:szCs w:val="21"/>
                    </w:rPr>
                    <w:t>一</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办学规模</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3000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生</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pacing w:val="-3"/>
                      <w:sz w:val="21"/>
                      <w:szCs w:val="21"/>
                    </w:rPr>
                    <w:t>全</w:t>
                  </w:r>
                  <w:r>
                    <w:rPr>
                      <w:rFonts w:hint="default" w:ascii="Times New Roman" w:hAnsi="Times New Roman" w:eastAsia="宋体" w:cs="Times New Roman"/>
                      <w:b w:val="0"/>
                      <w:bCs w:val="0"/>
                      <w:spacing w:val="-3"/>
                      <w:sz w:val="21"/>
                      <w:szCs w:val="21"/>
                      <w:lang w:val="en-US" w:eastAsia="zh-CN"/>
                    </w:rPr>
                    <w:t>寄宿制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78"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二</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建设用地面积</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pacing w:val="-4"/>
                      <w:sz w:val="21"/>
                      <w:szCs w:val="21"/>
                    </w:rPr>
                    <w:t>134666.</w:t>
                  </w:r>
                  <w:r>
                    <w:rPr>
                      <w:rFonts w:hint="default" w:ascii="Times New Roman" w:hAnsi="Times New Roman" w:eastAsia="宋体" w:cs="Times New Roman"/>
                      <w:b w:val="0"/>
                      <w:bCs w:val="0"/>
                      <w:spacing w:val="-4"/>
                      <w:sz w:val="21"/>
                      <w:szCs w:val="21"/>
                      <w:lang w:val="en-US" w:eastAsia="zh-CN"/>
                    </w:rPr>
                    <w:t>7</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m²</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pacing w:val="-3"/>
                      <w:sz w:val="21"/>
                      <w:szCs w:val="21"/>
                    </w:rPr>
                    <w:t>合202</w:t>
                  </w:r>
                  <w:r>
                    <w:rPr>
                      <w:rFonts w:hint="default" w:ascii="Times New Roman" w:hAnsi="Times New Roman" w:eastAsia="宋体" w:cs="Times New Roman"/>
                      <w:b w:val="0"/>
                      <w:bCs w:val="0"/>
                      <w:spacing w:val="-3"/>
                      <w:sz w:val="21"/>
                      <w:szCs w:val="21"/>
                      <w:lang w:val="en-US" w:eastAsia="zh-CN"/>
                    </w:rPr>
                    <w:t>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三</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总建筑面积</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80664.00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5"/>
                      <w:sz w:val="21"/>
                      <w:szCs w:val="21"/>
                    </w:rPr>
                    <w:t>(</w:t>
                  </w:r>
                  <w:r>
                    <w:rPr>
                      <w:rFonts w:hint="default" w:ascii="Times New Roman" w:hAnsi="Times New Roman" w:eastAsia="宋体" w:cs="Times New Roman"/>
                      <w:b w:val="0"/>
                      <w:bCs w:val="0"/>
                      <w:spacing w:val="-36"/>
                      <w:sz w:val="21"/>
                      <w:szCs w:val="21"/>
                    </w:rPr>
                    <w:t xml:space="preserve"> </w:t>
                  </w:r>
                  <w:r>
                    <w:rPr>
                      <w:rFonts w:hint="default" w:ascii="Times New Roman" w:hAnsi="Times New Roman" w:eastAsia="宋体" w:cs="Times New Roman"/>
                      <w:b w:val="0"/>
                      <w:bCs w:val="0"/>
                      <w:spacing w:val="-15"/>
                      <w:sz w:val="21"/>
                      <w:szCs w:val="21"/>
                    </w:rPr>
                    <w:t>一</w:t>
                  </w:r>
                  <w:r>
                    <w:rPr>
                      <w:rFonts w:hint="default" w:ascii="Times New Roman" w:hAnsi="Times New Roman" w:eastAsia="宋体" w:cs="Times New Roman"/>
                      <w:b w:val="0"/>
                      <w:bCs w:val="0"/>
                      <w:spacing w:val="-39"/>
                      <w:sz w:val="21"/>
                      <w:szCs w:val="21"/>
                    </w:rPr>
                    <w:t xml:space="preserve"> </w:t>
                  </w:r>
                  <w:r>
                    <w:rPr>
                      <w:rFonts w:hint="default" w:ascii="Times New Roman" w:hAnsi="Times New Roman" w:eastAsia="宋体" w:cs="Times New Roman"/>
                      <w:b w:val="0"/>
                      <w:bCs w:val="0"/>
                      <w:spacing w:val="-15"/>
                      <w:sz w:val="21"/>
                      <w:szCs w:val="21"/>
                    </w:rPr>
                    <w:t>)</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地上建筑面积</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75164.00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color w:val="9C8382"/>
                      <w:sz w:val="21"/>
                      <w:szCs w:val="21"/>
                    </w:rPr>
                    <w:t>1</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1#教学楼</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10800.00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vMerge w:val="restart"/>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6"/>
                      <w:sz w:val="21"/>
                      <w:szCs w:val="21"/>
                    </w:rPr>
                    <w:t>生均面积7.2m²/生(含教师办公室)</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2#教学楼</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10800.00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3</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图书综合楼</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12000.00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4</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艺体中心</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4350.00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9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5</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7"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学术报告中心</w:t>
                  </w:r>
                  <w:r>
                    <w:rPr>
                      <w:rFonts w:hint="default" w:ascii="Times New Roman" w:hAnsi="Times New Roman" w:eastAsia="宋体" w:cs="Times New Roman"/>
                      <w:b w:val="0"/>
                      <w:bCs w:val="0"/>
                      <w:spacing w:val="-1"/>
                      <w:sz w:val="21"/>
                      <w:szCs w:val="21"/>
                    </w:rPr>
                    <w:t>及餐饮中心</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7500.00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8"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报告厅700座/餐饮中心1500座，生均1.45m²</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女生宿舍</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10800.00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default" w:ascii="Times New Roman" w:hAnsi="Times New Roman" w:eastAsia="宋体" w:cs="Times New Roman"/>
                      <w:b w:val="0"/>
                      <w:bCs w:val="0"/>
                      <w:sz w:val="21"/>
                      <w:szCs w:val="21"/>
                    </w:rPr>
                  </w:pPr>
                </w:p>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7"/>
                      <w:sz w:val="21"/>
                      <w:szCs w:val="21"/>
                    </w:rPr>
                    <w:t>生均面积6.68m²/生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7</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男生宿舍</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9250.00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教师宿舍</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7650.00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4"/>
                      <w:sz w:val="21"/>
                      <w:szCs w:val="21"/>
                    </w:rPr>
                    <w:t>35m²/套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9</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钟楼</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24.00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10</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1"/>
                      <w:sz w:val="21"/>
                      <w:szCs w:val="21"/>
                      <w:highlight w:val="none"/>
                      <w14:textFill>
                        <w14:solidFill>
                          <w14:schemeClr w14:val="tx1"/>
                        </w14:solidFill>
                      </w14:textFill>
                    </w:rPr>
                    <w:t>1#门卫</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64.00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11</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2#门卫</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32.00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12</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3#门卫</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32.00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13</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2"/>
                      <w:sz w:val="21"/>
                      <w:szCs w:val="21"/>
                      <w:highlight w:val="none"/>
                      <w14:textFill>
                        <w14:solidFill>
                          <w14:schemeClr w14:val="tx1"/>
                        </w14:solidFill>
                      </w14:textFill>
                    </w:rPr>
                    <w:t>垃圾房</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spacing w:val="-3"/>
                      <w:sz w:val="21"/>
                      <w:szCs w:val="21"/>
                      <w:highlight w:val="none"/>
                      <w14:textFill>
                        <w14:solidFill>
                          <w14:schemeClr w14:val="tx1"/>
                        </w14:solidFill>
                      </w14:textFill>
                    </w:rPr>
                    <w:t>180.00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14</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2#变电所(垃</w:t>
                  </w:r>
                  <w:r>
                    <w:rPr>
                      <w:rFonts w:hint="default" w:ascii="Times New Roman" w:hAnsi="Times New Roman" w:eastAsia="宋体" w:cs="Times New Roman"/>
                      <w:b w:val="0"/>
                      <w:bCs w:val="0"/>
                      <w:spacing w:val="11"/>
                      <w:sz w:val="21"/>
                      <w:szCs w:val="21"/>
                    </w:rPr>
                    <w:t>级</w:t>
                  </w:r>
                  <w:r>
                    <w:rPr>
                      <w:rFonts w:hint="default" w:ascii="Times New Roman" w:hAnsi="Times New Roman" w:eastAsia="宋体" w:cs="Times New Roman"/>
                      <w:b w:val="0"/>
                      <w:bCs w:val="0"/>
                      <w:spacing w:val="11"/>
                      <w:sz w:val="21"/>
                      <w:szCs w:val="21"/>
                      <w:lang w:val="en-US" w:eastAsia="zh-CN"/>
                    </w:rPr>
                    <w:t>房</w:t>
                  </w:r>
                  <w:r>
                    <w:rPr>
                      <w:rFonts w:hint="default" w:ascii="Times New Roman" w:hAnsi="Times New Roman" w:eastAsia="宋体" w:cs="Times New Roman"/>
                      <w:b w:val="0"/>
                      <w:bCs w:val="0"/>
                      <w:spacing w:val="11"/>
                      <w:sz w:val="21"/>
                      <w:szCs w:val="21"/>
                    </w:rPr>
                    <w:t>)</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180.00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15</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主席台</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200.00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16</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锅炉房</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950.00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17</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连廊</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352.00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1"/>
                      <w:sz w:val="21"/>
                      <w:szCs w:val="21"/>
                    </w:rPr>
                    <w:t>(二)</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地下建筑面积</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5500.00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color w:val="9C8483"/>
                      <w:sz w:val="21"/>
                      <w:szCs w:val="21"/>
                    </w:rPr>
                    <w:t>1</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地下人防</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3800.00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设备机房</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1700.00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9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1"/>
                      <w:sz w:val="21"/>
                      <w:szCs w:val="21"/>
                    </w:rPr>
                    <w:t>m²</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2"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四</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lang w:val="en-US" w:eastAsia="zh-CN"/>
                    </w:rPr>
                    <w:t>容</w:t>
                  </w:r>
                  <w:r>
                    <w:rPr>
                      <w:rFonts w:hint="default" w:ascii="Times New Roman" w:hAnsi="Times New Roman" w:eastAsia="宋体" w:cs="Times New Roman"/>
                      <w:b w:val="0"/>
                      <w:bCs w:val="0"/>
                      <w:spacing w:val="-4"/>
                      <w:sz w:val="21"/>
                      <w:szCs w:val="21"/>
                    </w:rPr>
                    <w:t>积率</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0.56</w:t>
                  </w:r>
                </w:p>
              </w:tc>
              <w:tc>
                <w:tcPr>
                  <w:tcW w:w="90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36"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7"/>
                      <w:sz w:val="21"/>
                      <w:szCs w:val="21"/>
                    </w:rPr>
                    <w:t>≤1.5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9"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五</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建筑占地面积</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3"/>
                      <w:sz w:val="21"/>
                      <w:szCs w:val="21"/>
                    </w:rPr>
                    <w:t>25285.41</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41"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m</w:t>
                  </w:r>
                </w:p>
              </w:tc>
              <w:tc>
                <w:tcPr>
                  <w:tcW w:w="339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六</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4"/>
                      <w:sz w:val="21"/>
                      <w:szCs w:val="21"/>
                    </w:rPr>
                    <w:t>建筑密度</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5"/>
                      <w:sz w:val="21"/>
                      <w:szCs w:val="21"/>
                    </w:rPr>
                    <w:t>18.78</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36" w:lineRule="auto"/>
                    <w:ind w:left="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6"/>
                      <w:sz w:val="21"/>
                      <w:szCs w:val="21"/>
                    </w:rPr>
                    <w:t>≤30%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31" w:lineRule="auto"/>
                    <w:ind w:left="0" w:leftChars="0" w:right="0"/>
                    <w:jc w:val="center"/>
                    <w:textAlignment w:val="auto"/>
                    <w:rPr>
                      <w:rFonts w:hint="default" w:ascii="Times New Roman" w:hAnsi="Times New Roman" w:eastAsia="宋体" w:cs="Times New Roman"/>
                      <w:b w:val="0"/>
                      <w:bCs w:val="0"/>
                      <w:spacing w:val="-2"/>
                      <w:sz w:val="21"/>
                      <w:szCs w:val="21"/>
                    </w:rPr>
                  </w:pPr>
                  <w:r>
                    <w:rPr>
                      <w:rFonts w:hint="default" w:ascii="Times New Roman" w:hAnsi="Times New Roman" w:eastAsia="宋体" w:cs="Times New Roman"/>
                      <w:b w:val="0"/>
                      <w:bCs w:val="0"/>
                      <w:sz w:val="21"/>
                      <w:szCs w:val="21"/>
                    </w:rPr>
                    <w:t>七</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Times New Roman" w:hAnsi="Times New Roman" w:eastAsia="宋体" w:cs="Times New Roman"/>
                      <w:b w:val="0"/>
                      <w:bCs w:val="0"/>
                      <w:spacing w:val="-4"/>
                      <w:sz w:val="21"/>
                      <w:szCs w:val="21"/>
                    </w:rPr>
                  </w:pPr>
                  <w:r>
                    <w:rPr>
                      <w:rFonts w:hint="default" w:ascii="Times New Roman" w:hAnsi="Times New Roman" w:eastAsia="宋体" w:cs="Times New Roman"/>
                      <w:b w:val="0"/>
                      <w:bCs w:val="0"/>
                      <w:spacing w:val="-2"/>
                      <w:sz w:val="21"/>
                      <w:szCs w:val="21"/>
                    </w:rPr>
                    <w:t>绿地率</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3" w:lineRule="auto"/>
                    <w:ind w:left="0" w:right="0"/>
                    <w:jc w:val="center"/>
                    <w:textAlignment w:val="auto"/>
                    <w:rPr>
                      <w:rFonts w:hint="default" w:ascii="Times New Roman" w:hAnsi="Times New Roman" w:eastAsia="宋体" w:cs="Times New Roman"/>
                      <w:b w:val="0"/>
                      <w:bCs w:val="0"/>
                      <w:spacing w:val="-5"/>
                      <w:sz w:val="21"/>
                      <w:szCs w:val="21"/>
                    </w:rPr>
                  </w:pPr>
                  <w:r>
                    <w:rPr>
                      <w:rFonts w:hint="default" w:ascii="Times New Roman" w:hAnsi="Times New Roman" w:eastAsia="宋体" w:cs="Times New Roman"/>
                      <w:b w:val="0"/>
                      <w:bCs w:val="0"/>
                      <w:spacing w:val="-2"/>
                      <w:sz w:val="21"/>
                      <w:szCs w:val="21"/>
                    </w:rPr>
                    <w:t>35.20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等</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36" w:lineRule="auto"/>
                    <w:ind w:left="0" w:leftChars="0" w:right="0"/>
                    <w:jc w:val="center"/>
                    <w:textAlignment w:val="auto"/>
                    <w:rPr>
                      <w:rFonts w:hint="default" w:ascii="Times New Roman" w:hAnsi="Times New Roman" w:eastAsia="宋体" w:cs="Times New Roman"/>
                      <w:b w:val="0"/>
                      <w:bCs w:val="0"/>
                      <w:spacing w:val="-6"/>
                      <w:sz w:val="21"/>
                      <w:szCs w:val="21"/>
                    </w:rPr>
                  </w:pPr>
                  <w:r>
                    <w:rPr>
                      <w:rFonts w:hint="default" w:ascii="Times New Roman" w:hAnsi="Times New Roman" w:eastAsia="宋体" w:cs="Times New Roman"/>
                      <w:b w:val="0"/>
                      <w:bCs w:val="0"/>
                      <w:spacing w:val="-5"/>
                      <w:sz w:val="21"/>
                      <w:szCs w:val="21"/>
                    </w:rPr>
                    <w:t>&gt;35%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39" w:hRule="atLeast"/>
                <w:jc w:val="center"/>
              </w:trPr>
              <w:tc>
                <w:tcPr>
                  <w:tcW w:w="961"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default" w:ascii="Times New Roman" w:hAnsi="Times New Roman" w:eastAsia="宋体" w:cs="Times New Roman"/>
                      <w:b w:val="0"/>
                      <w:bCs w:val="0"/>
                      <w:spacing w:val="-2"/>
                      <w:sz w:val="21"/>
                      <w:szCs w:val="21"/>
                    </w:rPr>
                  </w:pPr>
                  <w:r>
                    <w:rPr>
                      <w:rFonts w:hint="default" w:ascii="Times New Roman" w:hAnsi="Times New Roman" w:eastAsia="宋体" w:cs="Times New Roman"/>
                      <w:b w:val="0"/>
                      <w:bCs w:val="0"/>
                      <w:sz w:val="21"/>
                      <w:szCs w:val="21"/>
                    </w:rPr>
                    <w:t>八</w:t>
                  </w:r>
                </w:p>
              </w:tc>
              <w:tc>
                <w:tcPr>
                  <w:tcW w:w="1687"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default" w:ascii="Times New Roman" w:hAnsi="Times New Roman" w:eastAsia="宋体" w:cs="Times New Roman"/>
                      <w:b w:val="0"/>
                      <w:bCs w:val="0"/>
                      <w:spacing w:val="-4"/>
                      <w:sz w:val="21"/>
                      <w:szCs w:val="21"/>
                    </w:rPr>
                  </w:pPr>
                  <w:r>
                    <w:rPr>
                      <w:rFonts w:hint="default" w:ascii="Times New Roman" w:hAnsi="Times New Roman" w:eastAsia="宋体" w:cs="Times New Roman"/>
                      <w:b w:val="0"/>
                      <w:bCs w:val="0"/>
                      <w:spacing w:val="-2"/>
                      <w:sz w:val="21"/>
                      <w:szCs w:val="21"/>
                    </w:rPr>
                    <w:t>机动车位</w:t>
                  </w:r>
                </w:p>
              </w:tc>
              <w:tc>
                <w:tcPr>
                  <w:tcW w:w="1329"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184" w:lineRule="auto"/>
                    <w:ind w:left="0" w:right="0"/>
                    <w:jc w:val="center"/>
                    <w:textAlignment w:val="auto"/>
                    <w:rPr>
                      <w:rFonts w:hint="default" w:ascii="Times New Roman" w:hAnsi="Times New Roman" w:eastAsia="宋体" w:cs="Times New Roman"/>
                      <w:b w:val="0"/>
                      <w:bCs w:val="0"/>
                      <w:spacing w:val="-5"/>
                      <w:sz w:val="21"/>
                      <w:szCs w:val="21"/>
                    </w:rPr>
                  </w:pPr>
                  <w:r>
                    <w:rPr>
                      <w:rFonts w:hint="default" w:ascii="Times New Roman" w:hAnsi="Times New Roman" w:eastAsia="宋体" w:cs="Times New Roman"/>
                      <w:b w:val="0"/>
                      <w:bCs w:val="0"/>
                      <w:spacing w:val="-7"/>
                      <w:sz w:val="21"/>
                      <w:szCs w:val="21"/>
                    </w:rPr>
                    <w:t>130</w:t>
                  </w:r>
                </w:p>
              </w:tc>
              <w:tc>
                <w:tcPr>
                  <w:tcW w:w="906"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pacing w:val="-2"/>
                      <w:sz w:val="21"/>
                      <w:szCs w:val="21"/>
                    </w:rPr>
                    <w:t>个</w:t>
                  </w:r>
                </w:p>
              </w:tc>
              <w:tc>
                <w:tcPr>
                  <w:tcW w:w="3395" w:type="dxa"/>
                  <w:tcBorders>
                    <w:tl2br w:val="nil"/>
                    <w:tr2bl w:val="nil"/>
                  </w:tcBorders>
                  <w:vAlign w:val="center"/>
                </w:tcPr>
                <w:p>
                  <w:pPr>
                    <w:pStyle w:val="69"/>
                    <w:keepNext w:val="0"/>
                    <w:keepLines w:val="0"/>
                    <w:pageBreakBefore w:val="0"/>
                    <w:widowControl w:val="0"/>
                    <w:kinsoku/>
                    <w:wordWrap/>
                    <w:overflowPunct/>
                    <w:topLinePunct w:val="0"/>
                    <w:autoSpaceDE/>
                    <w:autoSpaceDN/>
                    <w:bidi w:val="0"/>
                    <w:adjustRightInd/>
                    <w:snapToGrid/>
                    <w:spacing w:line="216" w:lineRule="auto"/>
                    <w:ind w:left="0" w:right="0"/>
                    <w:jc w:val="center"/>
                    <w:textAlignment w:val="auto"/>
                    <w:rPr>
                      <w:rFonts w:hint="default" w:ascii="Times New Roman" w:hAnsi="Times New Roman" w:eastAsia="宋体" w:cs="Times New Roman"/>
                      <w:b w:val="0"/>
                      <w:bCs w:val="0"/>
                      <w:spacing w:val="-6"/>
                      <w:sz w:val="21"/>
                      <w:szCs w:val="21"/>
                    </w:rPr>
                  </w:pPr>
                  <w:r>
                    <w:rPr>
                      <w:rFonts w:hint="default" w:ascii="Times New Roman" w:hAnsi="Times New Roman" w:eastAsia="宋体" w:cs="Times New Roman"/>
                      <w:b w:val="0"/>
                      <w:bCs w:val="0"/>
                      <w:spacing w:val="-6"/>
                      <w:sz w:val="21"/>
                      <w:szCs w:val="21"/>
                    </w:rPr>
                    <w:t>其中地上停车80,地下停车50辆，包含39个充电车位</w:t>
                  </w:r>
                </w:p>
              </w:tc>
            </w:tr>
          </w:tbl>
          <w:p>
            <w:pPr>
              <w:keepNext/>
              <w:keepLines/>
              <w:pageBreakBefore w:val="0"/>
              <w:bidi w:val="0"/>
              <w:spacing w:line="360" w:lineRule="auto"/>
              <w:ind w:firstLine="482" w:firstLineChars="200"/>
              <w:jc w:val="left"/>
              <w:rPr>
                <w:rFonts w:hint="default" w:ascii="Times New Roman" w:hAnsi="Times New Roman" w:eastAsia="宋体" w:cs="Times New Roman"/>
                <w:b/>
                <w:bCs w:val="0"/>
                <w:color w:val="auto"/>
                <w:sz w:val="24"/>
              </w:rPr>
            </w:pPr>
            <w:r>
              <w:rPr>
                <w:rFonts w:hint="default" w:ascii="Times New Roman" w:hAnsi="Times New Roman" w:eastAsia="宋体" w:cs="Times New Roman"/>
                <w:b/>
                <w:bCs w:val="0"/>
                <w:color w:val="auto"/>
                <w:sz w:val="24"/>
                <w:lang w:val="en-US" w:eastAsia="zh-CN"/>
              </w:rPr>
              <w:t xml:space="preserve">3、实验室原材料消耗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实验室试剂消耗表见2-3，实验室设备情况见表2-4。</w:t>
            </w:r>
          </w:p>
          <w:p>
            <w:pPr>
              <w:keepNext/>
              <w:keepLines/>
              <w:pageBreakBefore w:val="0"/>
              <w:widowControl/>
              <w:suppressLineNumbers w:val="0"/>
              <w:bidi w:val="0"/>
              <w:jc w:val="center"/>
              <w:rPr>
                <w:rFonts w:hint="default" w:ascii="Times New Roman" w:hAnsi="Times New Roman" w:eastAsia="宋体" w:cs="Times New Roman"/>
                <w:color w:val="auto"/>
              </w:rPr>
            </w:pPr>
            <w:r>
              <w:rPr>
                <w:rFonts w:hint="default" w:ascii="Times New Roman" w:hAnsi="Times New Roman" w:eastAsia="宋体" w:cs="Times New Roman"/>
                <w:b/>
                <w:bCs/>
                <w:color w:val="auto"/>
                <w:kern w:val="0"/>
                <w:sz w:val="20"/>
                <w:szCs w:val="20"/>
                <w:lang w:val="en-US" w:eastAsia="zh-CN" w:bidi="ar"/>
              </w:rPr>
              <w:t>表 2-3 实验室材料源消耗情况</w:t>
            </w:r>
          </w:p>
          <w:tbl>
            <w:tblPr>
              <w:tblStyle w:val="22"/>
              <w:tblW w:w="492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896"/>
              <w:gridCol w:w="1048"/>
              <w:gridCol w:w="1404"/>
              <w:gridCol w:w="1215"/>
              <w:gridCol w:w="16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eastAsia="zh-CN"/>
                    </w:rPr>
                  </w:pPr>
                  <w:r>
                    <w:rPr>
                      <w:rFonts w:hint="default" w:ascii="Times New Roman" w:hAnsi="Times New Roman" w:eastAsia="宋体" w:cs="Times New Roman"/>
                      <w:b/>
                      <w:bCs w:val="0"/>
                      <w:color w:val="auto"/>
                      <w:sz w:val="20"/>
                      <w:szCs w:val="20"/>
                      <w:highlight w:val="none"/>
                      <w:vertAlign w:val="baseline"/>
                      <w:lang w:eastAsia="zh-CN"/>
                    </w:rPr>
                    <w:t>序号</w:t>
                  </w:r>
                </w:p>
              </w:tc>
              <w:tc>
                <w:tcPr>
                  <w:tcW w:w="1152"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eastAsia="zh-CN"/>
                    </w:rPr>
                  </w:pPr>
                  <w:r>
                    <w:rPr>
                      <w:rFonts w:hint="default" w:ascii="Times New Roman" w:hAnsi="Times New Roman" w:eastAsia="宋体" w:cs="Times New Roman"/>
                      <w:b/>
                      <w:bCs w:val="0"/>
                      <w:color w:val="auto"/>
                      <w:sz w:val="20"/>
                      <w:szCs w:val="20"/>
                      <w:highlight w:val="none"/>
                      <w:vertAlign w:val="baseline"/>
                      <w:lang w:eastAsia="zh-CN"/>
                    </w:rPr>
                    <w:t>药品名称</w:t>
                  </w:r>
                </w:p>
              </w:tc>
              <w:tc>
                <w:tcPr>
                  <w:tcW w:w="636"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eastAsia="zh-CN"/>
                    </w:rPr>
                  </w:pPr>
                  <w:r>
                    <w:rPr>
                      <w:rFonts w:hint="default" w:ascii="Times New Roman" w:hAnsi="Times New Roman" w:eastAsia="宋体" w:cs="Times New Roman"/>
                      <w:b/>
                      <w:bCs w:val="0"/>
                      <w:color w:val="auto"/>
                      <w:sz w:val="20"/>
                      <w:szCs w:val="20"/>
                      <w:highlight w:val="none"/>
                      <w:vertAlign w:val="baseline"/>
                      <w:lang w:eastAsia="zh-CN"/>
                    </w:rPr>
                    <w:t>单位</w:t>
                  </w:r>
                </w:p>
              </w:tc>
              <w:tc>
                <w:tcPr>
                  <w:tcW w:w="85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eastAsia="zh-CN"/>
                    </w:rPr>
                  </w:pPr>
                  <w:r>
                    <w:rPr>
                      <w:rFonts w:hint="default" w:ascii="Times New Roman" w:hAnsi="Times New Roman" w:eastAsia="宋体" w:cs="Times New Roman"/>
                      <w:b/>
                      <w:bCs w:val="0"/>
                      <w:color w:val="auto"/>
                      <w:sz w:val="20"/>
                      <w:szCs w:val="20"/>
                      <w:highlight w:val="none"/>
                      <w:vertAlign w:val="baseline"/>
                      <w:lang w:val="en-US" w:eastAsia="zh-CN"/>
                    </w:rPr>
                    <w:t>年</w:t>
                  </w:r>
                  <w:r>
                    <w:rPr>
                      <w:rFonts w:hint="default" w:ascii="Times New Roman" w:hAnsi="Times New Roman" w:eastAsia="宋体" w:cs="Times New Roman"/>
                      <w:b/>
                      <w:bCs w:val="0"/>
                      <w:color w:val="auto"/>
                      <w:sz w:val="20"/>
                      <w:szCs w:val="20"/>
                      <w:highlight w:val="none"/>
                      <w:vertAlign w:val="baseline"/>
                      <w:lang w:eastAsia="zh-CN"/>
                    </w:rPr>
                    <w:t>消耗量</w:t>
                  </w:r>
                </w:p>
              </w:tc>
              <w:tc>
                <w:tcPr>
                  <w:tcW w:w="7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eastAsia="zh-CN"/>
                    </w:rPr>
                  </w:pPr>
                  <w:r>
                    <w:rPr>
                      <w:rFonts w:hint="default" w:ascii="Times New Roman" w:hAnsi="Times New Roman" w:eastAsia="宋体" w:cs="Times New Roman"/>
                      <w:b/>
                      <w:bCs w:val="0"/>
                      <w:color w:val="auto"/>
                      <w:sz w:val="20"/>
                      <w:szCs w:val="20"/>
                      <w:highlight w:val="none"/>
                      <w:vertAlign w:val="baseline"/>
                      <w:lang w:eastAsia="zh-CN"/>
                    </w:rPr>
                    <w:t>最大贮存量</w:t>
                  </w:r>
                </w:p>
              </w:tc>
              <w:tc>
                <w:tcPr>
                  <w:tcW w:w="1005"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 w:val="20"/>
                      <w:szCs w:val="20"/>
                      <w:highlight w:val="none"/>
                      <w:vertAlign w:val="baseline"/>
                      <w:lang w:val="en-US" w:eastAsia="zh-CN"/>
                    </w:rPr>
                  </w:pPr>
                  <w:r>
                    <w:rPr>
                      <w:rFonts w:hint="eastAsia" w:cs="Times New Roman"/>
                      <w:b/>
                      <w:bCs w:val="0"/>
                      <w:color w:val="auto"/>
                      <w:sz w:val="20"/>
                      <w:szCs w:val="20"/>
                      <w:highlight w:val="none"/>
                      <w:vertAlign w:val="baseline"/>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二氧化锰</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三氧化二铁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氧化铜</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氯化铝</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氯化钾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氯化钠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无水氯化钙</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氯化镁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三氯化铁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氯化铵</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氯化亚铁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氯化亚锡</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溴化钠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溴化钾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溴化铜</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碘化铅</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碘化钾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亚硫酸钠(无水)</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19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硫酸亚铁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0"/>
                      <w:szCs w:val="20"/>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硫酸亚铁铵</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无水硫酸钠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硫酸铝</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硫酸铜（蓝矾、胆矾）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无水硫酸铜</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硫酸铵</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硫酸铝钾（明矾）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 xml:space="preserve">硫酸铁 </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29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硫酸锰</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硫酸锌</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硫化亚铁</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碳酸钠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碳酸氢钠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大理石</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碳酸氢铵</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硅酸钠(水玻璃)</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硝酸银</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无水乙酸钠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39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乙酸铅</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硫氰酸钾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硫代硫酸钠（海波）</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硼酸</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氢氧化钡</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氨水</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碱性、易挥发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 xml:space="preserve">氧化钙（生石灰） </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氢氧化钙（熟石灰）</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碱石灰</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甘油</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不易挥发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49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葡萄糖</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蔗糖</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可溶性淀粉</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酒精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苯甲酸</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硬脂酸</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硬脂酸丁酯</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石蕊</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酚酞</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品红</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59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甲基橙</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亚甲基蓝</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汽油</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易燃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乙醛</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易燃、易挥发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苯</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有毒、易燃、易挥发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eastAsia" w:cs="Times New Roman"/>
                      <w:i w:val="0"/>
                      <w:iCs w:val="0"/>
                      <w:color w:val="000000"/>
                      <w:kern w:val="0"/>
                      <w:sz w:val="22"/>
                      <w:szCs w:val="22"/>
                      <w:u w:val="none"/>
                      <w:lang w:val="en-US" w:eastAsia="zh-CN" w:bidi="ar"/>
                    </w:rPr>
                    <w:t>无水乙醇</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eastAsia"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r>
                    <w:rPr>
                      <w:rFonts w:hint="eastAsia"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易燃、易挥发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乙酸乙酯</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低毒、易燃、易挥发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硫粉</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镁条</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硫化钠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69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锌粉</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碳化钙</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过氧化氢</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弱酸性、难挥发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硝酸钾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过氧化钠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亚硝酸钠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重铬酸钾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76</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草酸</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77</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氯化钡</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78</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四氯化碳</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有毒、易挥发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79</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溴乙烷</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80</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苯酚</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有毒、弱酸性、不易挥发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81</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乙酸%36</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vMerge w:val="restar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酸性、易挥发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82</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乙酸%100</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毫升</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w:t>
                  </w:r>
                  <w:r>
                    <w:rPr>
                      <w:rFonts w:hint="eastAsia" w:cs="Times New Roman"/>
                      <w:b w:val="0"/>
                      <w:bCs/>
                      <w:color w:val="auto"/>
                      <w:sz w:val="20"/>
                      <w:szCs w:val="20"/>
                      <w:highlight w:val="none"/>
                      <w:vertAlign w:val="baseline"/>
                      <w:lang w:val="en-US" w:eastAsia="zh-CN"/>
                    </w:rPr>
                    <w:t>3</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氢氧化钾</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w:t>
                  </w:r>
                  <w:r>
                    <w:rPr>
                      <w:rFonts w:hint="eastAsia" w:cs="Times New Roman"/>
                      <w:b w:val="0"/>
                      <w:bCs/>
                      <w:color w:val="auto"/>
                      <w:sz w:val="20"/>
                      <w:szCs w:val="20"/>
                      <w:highlight w:val="none"/>
                      <w:vertAlign w:val="baseline"/>
                      <w:lang w:val="en-US" w:eastAsia="zh-CN"/>
                    </w:rPr>
                    <w:t>4</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氢氧化钠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13"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0"/>
                      <w:szCs w:val="20"/>
                      <w:highlight w:val="none"/>
                      <w:vertAlign w:val="baseline"/>
                      <w:lang w:val="en-US" w:eastAsia="zh-CN"/>
                    </w:rPr>
                  </w:pPr>
                  <w:r>
                    <w:rPr>
                      <w:rFonts w:hint="default" w:ascii="Times New Roman" w:hAnsi="Times New Roman" w:eastAsia="宋体" w:cs="Times New Roman"/>
                      <w:b w:val="0"/>
                      <w:bCs/>
                      <w:color w:val="auto"/>
                      <w:sz w:val="20"/>
                      <w:szCs w:val="20"/>
                      <w:highlight w:val="none"/>
                      <w:vertAlign w:val="baseline"/>
                      <w:lang w:val="en-US" w:eastAsia="zh-CN"/>
                    </w:rPr>
                    <w:t>8</w:t>
                  </w:r>
                  <w:r>
                    <w:rPr>
                      <w:rFonts w:hint="eastAsia" w:cs="Times New Roman"/>
                      <w:b w:val="0"/>
                      <w:bCs/>
                      <w:color w:val="auto"/>
                      <w:sz w:val="20"/>
                      <w:szCs w:val="20"/>
                      <w:highlight w:val="none"/>
                      <w:vertAlign w:val="baseline"/>
                      <w:lang w:val="en-US" w:eastAsia="zh-CN"/>
                    </w:rPr>
                    <w:t>5</w:t>
                  </w:r>
                </w:p>
              </w:tc>
              <w:tc>
                <w:tcPr>
                  <w:tcW w:w="115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苯酚钠</w:t>
                  </w:r>
                </w:p>
              </w:tc>
              <w:tc>
                <w:tcPr>
                  <w:tcW w:w="636"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克</w:t>
                  </w:r>
                </w:p>
              </w:tc>
              <w:tc>
                <w:tcPr>
                  <w:tcW w:w="85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7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0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固体</w:t>
                  </w:r>
                </w:p>
              </w:tc>
            </w:tr>
          </w:tbl>
          <w:p>
            <w:pPr>
              <w:keepNext/>
              <w:keepLines/>
              <w:pageBreakBefore w:val="0"/>
              <w:widowControl/>
              <w:suppressLineNumbers w:val="0"/>
              <w:bidi w:val="0"/>
              <w:jc w:val="center"/>
              <w:rPr>
                <w:rFonts w:hint="default" w:ascii="Times New Roman" w:hAnsi="Times New Roman" w:eastAsia="宋体" w:cs="Times New Roman"/>
                <w:color w:val="auto"/>
              </w:rPr>
            </w:pPr>
            <w:r>
              <w:rPr>
                <w:rFonts w:hint="default" w:ascii="Times New Roman" w:hAnsi="Times New Roman" w:eastAsia="宋体" w:cs="Times New Roman"/>
                <w:b/>
                <w:bCs/>
                <w:color w:val="auto"/>
                <w:kern w:val="0"/>
                <w:sz w:val="20"/>
                <w:szCs w:val="20"/>
                <w:lang w:val="en-US" w:eastAsia="zh-CN" w:bidi="ar"/>
              </w:rPr>
              <w:t>表 2-4 实验室主要设备情况表</w:t>
            </w:r>
          </w:p>
          <w:tbl>
            <w:tblPr>
              <w:tblStyle w:val="2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3238"/>
              <w:gridCol w:w="1839"/>
              <w:gridCol w:w="2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eastAsia="zh-CN"/>
                    </w:rPr>
                  </w:pPr>
                  <w:r>
                    <w:rPr>
                      <w:rFonts w:hint="default" w:ascii="Times New Roman" w:hAnsi="Times New Roman" w:eastAsia="宋体" w:cs="Times New Roman"/>
                      <w:b/>
                      <w:bCs w:val="0"/>
                      <w:color w:val="auto"/>
                      <w:szCs w:val="21"/>
                      <w:highlight w:val="none"/>
                      <w:vertAlign w:val="baseline"/>
                      <w:lang w:eastAsia="zh-CN"/>
                    </w:rPr>
                    <w:t>序号</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eastAsia="zh-CN"/>
                    </w:rPr>
                  </w:pPr>
                  <w:r>
                    <w:rPr>
                      <w:rFonts w:hint="default" w:ascii="Times New Roman" w:hAnsi="Times New Roman" w:eastAsia="宋体" w:cs="Times New Roman"/>
                      <w:b/>
                      <w:bCs w:val="0"/>
                      <w:color w:val="auto"/>
                      <w:szCs w:val="21"/>
                      <w:highlight w:val="none"/>
                      <w:vertAlign w:val="baseline"/>
                      <w:lang w:eastAsia="zh-CN"/>
                    </w:rPr>
                    <w:t>设备名称</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eastAsia="zh-CN"/>
                    </w:rPr>
                  </w:pPr>
                  <w:r>
                    <w:rPr>
                      <w:rFonts w:hint="default" w:ascii="Times New Roman" w:hAnsi="Times New Roman" w:eastAsia="宋体" w:cs="Times New Roman"/>
                      <w:b/>
                      <w:bCs w:val="0"/>
                      <w:color w:val="auto"/>
                      <w:szCs w:val="21"/>
                      <w:highlight w:val="none"/>
                      <w:vertAlign w:val="baseline"/>
                      <w:lang w:eastAsia="zh-CN"/>
                    </w:rPr>
                    <w:t>单位</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eastAsia="zh-CN"/>
                    </w:rPr>
                  </w:pPr>
                  <w:r>
                    <w:rPr>
                      <w:rFonts w:hint="default" w:ascii="Times New Roman" w:hAnsi="Times New Roman" w:eastAsia="宋体" w:cs="Times New Roman"/>
                      <w:b/>
                      <w:bCs w:val="0"/>
                      <w:color w:val="auto"/>
                      <w:szCs w:val="21"/>
                      <w:highlight w:val="none"/>
                      <w:vertAlign w:val="baseline"/>
                      <w:lang w:eastAsia="zh-CN"/>
                    </w:rPr>
                    <w:t>数量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l2br w:val="nil"/>
                    <w:tr2bl w:val="nil"/>
                  </w:tcBorders>
                  <w:noWrap w:val="0"/>
                  <w:vAlign w:val="center"/>
                </w:tcPr>
                <w:p>
                  <w:pPr>
                    <w:keepNext/>
                    <w:keepLines/>
                    <w:pageBreakBefore w:val="0"/>
                    <w:widowControl/>
                    <w:suppressLineNumbers w:val="0"/>
                    <w:bidi w:val="0"/>
                    <w:jc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b/>
                      <w:bCs w:val="0"/>
                      <w:color w:val="auto"/>
                      <w:kern w:val="0"/>
                      <w:sz w:val="20"/>
                      <w:szCs w:val="20"/>
                      <w:lang w:val="en-US" w:eastAsia="zh-CN" w:bidi="ar"/>
                    </w:rPr>
                    <w:t>初中物理实验室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放大镜</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天文望远镜</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电冰箱</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台</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支架</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电源</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台</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测量仪器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天平</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台</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8</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计时表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9</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温度计</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支</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测力计</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11</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直流电流表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12</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直流电压表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圆柱体组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立方体组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运动和力实验器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惯性演示器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摩擦计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螺旋弹簧组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组</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阿基米德原理实验器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阿基米德原理及其应用实验器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液体压强与深度关系实验器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21</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滑轮组</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组</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22</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离心轨道</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23</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音叉</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支</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24</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量热器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25</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声热实验盒</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26</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玻璃棒（附丝绸）</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对</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27</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胶棒（附毛皮）</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对</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28</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验电器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对</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29</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小灯座</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30</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单刀开关</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val="0"/>
                      <w:bCs/>
                      <w:color w:val="auto"/>
                      <w:sz w:val="21"/>
                      <w:szCs w:val="21"/>
                      <w:highlight w:val="none"/>
                      <w:vertAlign w:val="baseline"/>
                      <w:lang w:val="en-US"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31</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滑动变阻器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b w:val="0"/>
                      <w:bCs/>
                      <w:color w:val="auto"/>
                      <w:sz w:val="21"/>
                      <w:szCs w:val="21"/>
                      <w:highlight w:val="none"/>
                      <w:vertAlign w:val="baseline"/>
                      <w:lang w:val="en-US" w:eastAsia="zh-CN"/>
                    </w:rPr>
                    <w:t>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电阻圈</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组</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33</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焦耳定律实验器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磁铁</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对</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35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磁感线演示器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36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菱形小磁针</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37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翼形磁针</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对</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38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电磁继电器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39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磁场对电流作用实验器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40</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电学实验盒</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个</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41</w:t>
                  </w:r>
                </w:p>
              </w:tc>
              <w:tc>
                <w:tcPr>
                  <w:tcW w:w="193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能的转化试验器</w:t>
                  </w:r>
                </w:p>
              </w:tc>
              <w:tc>
                <w:tcPr>
                  <w:tcW w:w="1101"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套</w:t>
                  </w:r>
                </w:p>
              </w:tc>
              <w:tc>
                <w:tcPr>
                  <w:tcW w:w="1250"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42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玻璃砖</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kern w:val="2"/>
                      <w:sz w:val="21"/>
                      <w:szCs w:val="21"/>
                      <w:highlight w:val="none"/>
                      <w:vertAlign w:val="baseline"/>
                      <w:lang w:val="en-US" w:eastAsia="zh-CN" w:bidi="ar-SA"/>
                    </w:rPr>
                    <w:t>43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光具座</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光具组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三棱镜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量筒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烧杯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烧瓶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酒精灯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漏斗</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平底管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T形管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工作服</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护目镜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手套</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双</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b/>
                      <w:bCs w:val="0"/>
                      <w:color w:val="auto"/>
                      <w:sz w:val="21"/>
                      <w:szCs w:val="21"/>
                      <w:highlight w:val="none"/>
                      <w:vertAlign w:val="baseline"/>
                      <w:lang w:val="en-US" w:eastAsia="zh-CN"/>
                    </w:rPr>
                    <w:t>初中</w:t>
                  </w:r>
                  <w:r>
                    <w:rPr>
                      <w:rFonts w:hint="default" w:ascii="Times New Roman" w:hAnsi="Times New Roman" w:eastAsia="宋体" w:cs="Times New Roman"/>
                      <w:b/>
                      <w:bCs w:val="0"/>
                      <w:color w:val="auto"/>
                      <w:sz w:val="21"/>
                      <w:szCs w:val="21"/>
                      <w:highlight w:val="none"/>
                      <w:vertAlign w:val="baseline"/>
                      <w:lang w:eastAsia="zh-CN"/>
                    </w:rPr>
                    <w:t>化学实验室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电动离心机</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离心沉淀器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磁力加热搅拌器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酒精喷灯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电加热器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蒸馏水器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列管式烘干器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烘干箱</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水电解演示器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水电解实验器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原电池实验器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贮气装置</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初中微型化学实验箱</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分子间隔实验器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把</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溶液导电演示器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溶液导电实验器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化学实验装置磁性教具</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量筒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rPr>
                  </w:pPr>
                  <w:r>
                    <w:rPr>
                      <w:rFonts w:hint="default" w:ascii="Times New Roman" w:hAnsi="Times New Roman" w:eastAsia="宋体" w:cs="Times New Roman"/>
                      <w:i w:val="0"/>
                      <w:iCs w:val="0"/>
                      <w:color w:val="000000"/>
                      <w:kern w:val="0"/>
                      <w:sz w:val="21"/>
                      <w:szCs w:val="21"/>
                      <w:u w:val="none"/>
                      <w:lang w:val="en-US" w:eastAsia="zh-CN" w:bidi="ar"/>
                    </w:rPr>
                    <w:t>容量瓶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eastAsia="zh-CN"/>
                    </w:rPr>
                  </w:pPr>
                  <w:r>
                    <w:rPr>
                      <w:rFonts w:hint="default" w:ascii="Times New Roman" w:hAnsi="Times New Roman" w:eastAsia="宋体" w:cs="Times New Roman"/>
                      <w:i w:val="0"/>
                      <w:iCs w:val="0"/>
                      <w:color w:val="000000"/>
                      <w:kern w:val="0"/>
                      <w:sz w:val="21"/>
                      <w:szCs w:val="21"/>
                      <w:u w:val="none"/>
                      <w:lang w:val="en-US" w:eastAsia="zh-CN" w:bidi="ar"/>
                    </w:rPr>
                    <w:t>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滴定管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烧杯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锥形瓶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酒精灯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抽滤瓶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气体发生器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漏斗</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瓶</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集气瓶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盒</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液封除毒气集气瓶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广口瓶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细口瓶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滴瓶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坩埚</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坩埚钳</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烧杯夹</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镊子</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试管夹</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石棉网</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药匙</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玻璃管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结晶皿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表面皿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研钵</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蒸发皿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片</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高中物理实验室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打孔器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直联泵</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生物显微镜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望远镜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酒精喷灯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升降台</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高中学生电源</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电池盒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组</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直尺</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游标卡尺</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把</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天平</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停表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计时器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温度计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测力计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高中数字演示电表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多用电表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电流表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电压表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示波器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电阻箱</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量角器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摩擦计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螺旋弹簧组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支杆定滑轮和桌边夹组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滚摆</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离心轨道</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力矩盘</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弹簧振子</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单摆组</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组</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油膜实验器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液体表面张力实验器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玻棒(附丝绸)</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对</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胶棒(附毛皮)</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对</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验电器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对</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小灯座</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单刀开关</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滑动变阻器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电阻定律实验器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条形磁铁</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对</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磁针</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原副线圈</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强磁体</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安培力实验器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电学元件黑箱</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整流电路实验器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凹面镜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凸面镜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玻璃砖</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光具座</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三棱镜</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量筒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量杯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烧杯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烧瓶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酒精灯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1号电池</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组</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电珠(小灯泡)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电子闹钟套件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桥梁模型器材套件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走马灯器材套件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箔片验电器器材套件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简易无线话筒器材套件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环保动能手电筒器材套件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简易收音机器材套件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三极管放大电路器材套件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光控路灯开关器材套件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遥控器器材套件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简易微型汽轮发电机器材套件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模型火箭器材套件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高中化学实验室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电动离心机</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离心沉淀器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磁力加热搅拌器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三脚架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泥三角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试管架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滴定台</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滴定夹</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多用滴管架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微型溶液导电实验器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中和热测定仪</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气体实验微型装置</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氢燃料电池实验器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离子交换柱</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丁达尔现象实验器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二氧化氮球</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渗析实验器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放电反应实验仪</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分子结构模型</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量筒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容量瓶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滴定管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sz w:val="22"/>
                      <w:szCs w:val="22"/>
                      <w:u w:val="none"/>
                      <w:lang w:val="en-US" w:eastAsia="zh-CN"/>
                    </w:rPr>
                    <w:t>145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移液管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具支试管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硬质玻璃管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燃烧管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Y形试管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烧杯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烧瓶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sz w:val="22"/>
                      <w:szCs w:val="22"/>
                      <w:u w:val="none"/>
                      <w:lang w:val="en-US" w:eastAsia="zh-C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锥形瓶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蒸馏烧瓶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三口烧瓶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酒精灯</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干燥塔</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气体洗瓶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抽滤瓶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气体发生器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冷凝器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冷凝器</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牛角管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漏斗</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T形管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Y形管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离心管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干燥管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比色管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圆水槽</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钴玻璃片</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集气瓶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液封除毒气集气瓶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广口瓶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细口瓶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滴瓶</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坩埚</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镊子</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试管夹</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石棉网</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隔热网</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二连球</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燃烧匙</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药匙</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玻璃管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千克</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66</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玻璃棒</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千克</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67</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橡胶管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千克</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68</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乳胶管</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米</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69</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洗耳球</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70</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试管刷</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71</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结晶皿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72</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表面皿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73</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表面皿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74</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研钵</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75</w:t>
                  </w:r>
                </w:p>
              </w:tc>
              <w:tc>
                <w:tcPr>
                  <w:tcW w:w="193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蒸发皿</w:t>
                  </w:r>
                </w:p>
              </w:tc>
              <w:tc>
                <w:tcPr>
                  <w:tcW w:w="110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1250"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eastAsia="zh-CN"/>
                    </w:rPr>
                  </w:pPr>
                  <w:r>
                    <w:rPr>
                      <w:rFonts w:hint="default" w:ascii="Times New Roman" w:hAnsi="Times New Roman" w:eastAsia="宋体" w:cs="Times New Roman"/>
                      <w:b/>
                      <w:bCs w:val="0"/>
                      <w:color w:val="auto"/>
                      <w:szCs w:val="21"/>
                      <w:highlight w:val="none"/>
                      <w:vertAlign w:val="baseline"/>
                      <w:lang w:val="en-US" w:eastAsia="zh-CN"/>
                    </w:rPr>
                    <w:t>高中</w:t>
                  </w:r>
                  <w:r>
                    <w:rPr>
                      <w:rFonts w:hint="default" w:ascii="Times New Roman" w:hAnsi="Times New Roman" w:eastAsia="宋体" w:cs="Times New Roman"/>
                      <w:b/>
                      <w:bCs w:val="0"/>
                      <w:color w:val="auto"/>
                      <w:szCs w:val="21"/>
                      <w:highlight w:val="none"/>
                      <w:vertAlign w:val="baseline"/>
                      <w:lang w:eastAsia="zh-CN"/>
                    </w:rPr>
                    <w:t>生物</w:t>
                  </w:r>
                  <w:r>
                    <w:rPr>
                      <w:rFonts w:hint="default" w:ascii="Times New Roman" w:hAnsi="Times New Roman" w:eastAsia="宋体" w:cs="Times New Roman"/>
                      <w:b/>
                      <w:bCs w:val="0"/>
                      <w:color w:val="auto"/>
                      <w:szCs w:val="21"/>
                      <w:highlight w:val="none"/>
                      <w:vertAlign w:val="baseline"/>
                      <w:lang w:val="en-US" w:eastAsia="zh-CN"/>
                    </w:rPr>
                    <w:t>实</w:t>
                  </w:r>
                  <w:r>
                    <w:rPr>
                      <w:rFonts w:hint="default" w:ascii="Times New Roman" w:hAnsi="Times New Roman" w:eastAsia="宋体" w:cs="Times New Roman"/>
                      <w:b/>
                      <w:bCs w:val="0"/>
                      <w:color w:val="auto"/>
                      <w:szCs w:val="21"/>
                      <w:highlight w:val="none"/>
                      <w:vertAlign w:val="baseline"/>
                      <w:lang w:eastAsia="zh-CN"/>
                    </w:rPr>
                    <w:t>验室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bCs w:val="0"/>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显微镜</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放大镜</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电动离心机</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磁力加热搅拌器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5</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高压灭菌锅</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6</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恒温水浴锅</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7</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烘干箱</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8</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电冰箱</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9</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恒温培养箱</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10</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光照培养箱</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11</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注射器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12</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塑料洗瓶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13</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天平</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14</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温度计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kern w:val="2"/>
                      <w:sz w:val="21"/>
                      <w:szCs w:val="21"/>
                      <w:highlight w:val="none"/>
                      <w:vertAlign w:val="baseline"/>
                      <w:lang w:val="en-US" w:eastAsia="zh-CN" w:bidi="ar-SA"/>
                    </w:rPr>
                  </w:pPr>
                  <w:r>
                    <w:rPr>
                      <w:rFonts w:hint="default" w:ascii="Times New Roman" w:hAnsi="Times New Roman" w:eastAsia="宋体" w:cs="Times New Roman"/>
                      <w:b w:val="0"/>
                      <w:bCs/>
                      <w:color w:val="auto"/>
                      <w:sz w:val="21"/>
                      <w:szCs w:val="21"/>
                      <w:highlight w:val="none"/>
                      <w:vertAlign w:val="baseline"/>
                      <w:lang w:val="en-US" w:eastAsia="zh-CN"/>
                    </w:rPr>
                    <w:t>15</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酸度计(pH计)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16</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血球计数板</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片</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17</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计数器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20</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接种环</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21</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手术剪</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把</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22</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解剖镊</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把</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23</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微量移液器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24</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DNA电泳图谱观察仪</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25</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精油提取器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26</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PCR仪</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27</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组织捣碎匀浆机</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28</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DNA快速杂交仪</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台</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29</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量筒</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30</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容量瓶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31</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移液管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32</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试管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33</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烧杯</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34</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锥形瓶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35</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蒸馏烧瓶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36</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酒精灯</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37</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冷凝器</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38</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漏斗</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39</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滴管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40</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比色管</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支</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41</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广口瓶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42</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细口瓶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43</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滴瓶</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400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44</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药匙</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把</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45</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玻璃棒</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千克</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46</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洗耳球</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47</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培养皿</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套</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48</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研钵</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个</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84" w:type="dxa"/>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vertAlign w:val="baseline"/>
                      <w:lang w:val="en-US" w:eastAsia="zh-CN"/>
                    </w:rPr>
                    <w:t>49</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载玻片</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盒</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pct"/>
                  <w:tcBorders>
                    <w:tl2br w:val="nil"/>
                    <w:tr2bl w:val="nil"/>
                  </w:tcBorders>
                  <w:noWrap w:val="0"/>
                  <w:vAlign w:val="center"/>
                </w:tcPr>
                <w:p>
                  <w:pPr>
                    <w:keepNext/>
                    <w:keepLines/>
                    <w:pageBreakBefore w:val="0"/>
                    <w:bidi w:val="0"/>
                    <w:spacing w:line="240" w:lineRule="auto"/>
                    <w:jc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b w:val="0"/>
                      <w:bCs/>
                      <w:color w:val="auto"/>
                      <w:szCs w:val="21"/>
                      <w:highlight w:val="none"/>
                      <w:vertAlign w:val="baseline"/>
                      <w:lang w:val="en-US" w:eastAsia="zh-CN"/>
                    </w:rPr>
                    <w:t>50</w:t>
                  </w:r>
                </w:p>
              </w:tc>
              <w:tc>
                <w:tcPr>
                  <w:tcW w:w="3238"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盖玻片</w:t>
                  </w:r>
                </w:p>
              </w:tc>
              <w:tc>
                <w:tcPr>
                  <w:tcW w:w="183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包</w:t>
                  </w:r>
                </w:p>
              </w:tc>
              <w:tc>
                <w:tcPr>
                  <w:tcW w:w="2089" w:type="dxa"/>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Cs w:val="21"/>
                      <w:highlight w:val="none"/>
                      <w:vertAlign w:val="baseli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56</w:t>
                  </w:r>
                </w:p>
              </w:tc>
            </w:tr>
          </w:tbl>
          <w:p>
            <w:pPr>
              <w:keepNext/>
              <w:keepLines/>
              <w:pageBreakBefore w:val="0"/>
              <w:bidi w:val="0"/>
              <w:spacing w:line="360" w:lineRule="auto"/>
              <w:ind w:firstLine="482" w:firstLineChars="200"/>
              <w:jc w:val="left"/>
              <w:rPr>
                <w:rFonts w:hint="default" w:ascii="Times New Roman" w:hAnsi="Times New Roman" w:eastAsia="宋体" w:cs="Times New Roman"/>
                <w:b/>
                <w:bCs w:val="0"/>
                <w:color w:val="auto"/>
                <w:sz w:val="24"/>
              </w:rPr>
            </w:pPr>
            <w:r>
              <w:rPr>
                <w:rFonts w:hint="default" w:ascii="Times New Roman" w:hAnsi="Times New Roman" w:eastAsia="宋体" w:cs="Times New Roman"/>
                <w:b/>
                <w:bCs w:val="0"/>
                <w:color w:val="auto"/>
                <w:sz w:val="24"/>
                <w:lang w:val="en-US" w:eastAsia="zh-CN"/>
              </w:rPr>
              <w:t xml:space="preserve">4、公用工程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（1）供电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本项目用电电源可由南侧侧海东仁和 110KV 变电站为本项目提供两路 10KV 电源出线间隔。</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（2）给水 </w:t>
            </w:r>
          </w:p>
          <w:p>
            <w:pPr>
              <w:keepNext/>
              <w:keepLines/>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项目区西侧水磨营大街设有一根 DN300 市政给水管网，市政压力暂按0.30Mpa，管顶覆土为1.5m。本项目用水由 DN300 市政给水管接入，接入管管径为 DN200。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本项目给水主要为：生活用水、锅炉房用水、实验室用水和绿化用水。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①生活用水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项目建成运营后容纳师生为3078人，学校设食堂和住宿。根据《青海省生活用水定额》（DB63/T1429—2021），中等教育定额值为26m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/（人·a），则本项目生活用水量320.11m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/d，80028m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 xml:space="preserve">/a，学校师生在校时间按照250天计算。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②实验室用水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学校建设化学、物理、生物实验室，实验室均为简单的授课使用，物理实验室主要进行简单的电学、力学等试验，生物实验室主要以显微镜观察试验为主，主要是植物形态、少量的细胞观察；化学实验室主要进行简单的酸碱盐试验，实验室用水量约200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/a。另化学试剂配制需用水0.2m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 xml:space="preserve">/a，为外购纯水，此部分水最终全部按化学废液处置。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③锅炉用水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项目供洗浴锅炉用水已记入生活用水中，供暖锅炉及热水锅炉用水计算方法如下：</w:t>
            </w:r>
          </w:p>
          <w:p>
            <w:pPr>
              <w:pStyle w:val="60"/>
              <w:keepNext/>
              <w:keepLines/>
              <w:pageBreakBefore w:val="0"/>
              <w:bidi w:val="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供暖锅炉</w:t>
            </w:r>
          </w:p>
          <w:p>
            <w:pPr>
              <w:pStyle w:val="60"/>
              <w:keepNext/>
              <w:keepLines/>
              <w:pageBreakBefore w:val="0"/>
              <w:bidi w:val="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项目建设总计8t/h燃气热水锅炉（供暖），1台锅炉年运行150d（除去放假期间锅炉低能耗运行时间），日实际运行</w:t>
            </w:r>
            <w:r>
              <w:rPr>
                <w:rFonts w:hint="eastAsia" w:cs="Times New Roman"/>
                <w:color w:val="auto"/>
                <w:sz w:val="24"/>
                <w:szCs w:val="24"/>
                <w:lang w:val="en-US" w:eastAsia="zh-CN"/>
              </w:rPr>
              <w:t>约6</w:t>
            </w:r>
            <w:r>
              <w:rPr>
                <w:rFonts w:hint="default" w:ascii="Times New Roman" w:hAnsi="Times New Roman" w:eastAsia="宋体" w:cs="Times New Roman"/>
                <w:color w:val="auto"/>
                <w:sz w:val="24"/>
                <w:szCs w:val="24"/>
                <w:lang w:val="en-US" w:eastAsia="zh-CN"/>
              </w:rPr>
              <w:t>h，根据《果洛海东中学建设项目可行性研究报告》，采暖循环水量约为Q=385.2m³/h，锅炉补充水量为4.65m³/h（</w:t>
            </w:r>
            <w:r>
              <w:rPr>
                <w:rFonts w:hint="eastAsia" w:cs="Times New Roman"/>
                <w:color w:val="auto"/>
                <w:sz w:val="24"/>
                <w:szCs w:val="24"/>
                <w:lang w:val="en-US" w:eastAsia="zh-CN"/>
              </w:rPr>
              <w:t>27.9</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4185</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锅炉排污水按补充水量的4%计，则锅炉排污水为</w:t>
            </w:r>
            <w:r>
              <w:rPr>
                <w:rFonts w:hint="eastAsia" w:cs="Times New Roman"/>
                <w:color w:val="auto"/>
                <w:sz w:val="24"/>
                <w:szCs w:val="24"/>
                <w:lang w:val="en-US" w:eastAsia="zh-CN"/>
              </w:rPr>
              <w:t>1.116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167.4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/a），锅炉损耗水量为</w:t>
            </w:r>
            <w:r>
              <w:rPr>
                <w:rFonts w:hint="eastAsia" w:cs="Times New Roman"/>
                <w:color w:val="auto"/>
                <w:sz w:val="24"/>
                <w:szCs w:val="24"/>
                <w:lang w:val="en-US" w:eastAsia="zh-CN"/>
              </w:rPr>
              <w:t>26.784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4017.6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p>
          <w:p>
            <w:pPr>
              <w:pStyle w:val="60"/>
              <w:keepNext/>
              <w:keepLines/>
              <w:pageBreakBefore w:val="0"/>
              <w:bidi w:val="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锅炉补充水需要使用软化水装置制取。软化水制取装置采取离子交换树脂法，</w:t>
            </w:r>
            <w:r>
              <w:rPr>
                <w:rFonts w:hint="eastAsia" w:cs="Times New Roman"/>
                <w:color w:val="auto"/>
                <w:sz w:val="24"/>
                <w:szCs w:val="24"/>
                <w:lang w:val="en-US" w:eastAsia="zh-CN"/>
              </w:rPr>
              <w:t>软水制备率约75%</w:t>
            </w:r>
            <w:r>
              <w:rPr>
                <w:rFonts w:hint="default" w:ascii="Times New Roman" w:hAnsi="Times New Roman" w:eastAsia="宋体" w:cs="Times New Roman"/>
                <w:color w:val="auto"/>
                <w:sz w:val="24"/>
                <w:szCs w:val="24"/>
                <w:lang w:val="en-US" w:eastAsia="zh-CN"/>
              </w:rPr>
              <w:t>，则</w:t>
            </w:r>
            <w:r>
              <w:rPr>
                <w:rFonts w:hint="eastAsia" w:cs="Times New Roman"/>
                <w:color w:val="auto"/>
                <w:sz w:val="24"/>
                <w:szCs w:val="24"/>
                <w:lang w:val="en-US" w:eastAsia="zh-CN"/>
              </w:rPr>
              <w:t>原水（</w:t>
            </w:r>
            <w:r>
              <w:rPr>
                <w:rFonts w:hint="default" w:ascii="Times New Roman" w:hAnsi="Times New Roman" w:eastAsia="宋体" w:cs="Times New Roman"/>
                <w:color w:val="auto"/>
                <w:sz w:val="24"/>
                <w:szCs w:val="24"/>
                <w:lang w:val="en-US" w:eastAsia="zh-CN"/>
              </w:rPr>
              <w:t>采暖锅炉</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需水量为</w:t>
            </w:r>
            <w:r>
              <w:rPr>
                <w:rFonts w:hint="eastAsia" w:cs="Times New Roman"/>
                <w:color w:val="auto"/>
                <w:sz w:val="24"/>
                <w:szCs w:val="24"/>
                <w:lang w:val="en-US" w:eastAsia="zh-CN"/>
              </w:rPr>
              <w:t>37.2</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5580</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/a），离子交换树脂反冲洗</w:t>
            </w:r>
            <w:r>
              <w:rPr>
                <w:rFonts w:hint="eastAsia" w:cs="Times New Roman"/>
                <w:color w:val="auto"/>
                <w:sz w:val="24"/>
                <w:szCs w:val="24"/>
                <w:lang w:val="en-US" w:eastAsia="zh-CN"/>
              </w:rPr>
              <w:t>废水</w:t>
            </w:r>
            <w:r>
              <w:rPr>
                <w:rFonts w:hint="default" w:ascii="Times New Roman" w:hAnsi="Times New Roman" w:eastAsia="宋体" w:cs="Times New Roman"/>
                <w:color w:val="auto"/>
                <w:sz w:val="24"/>
                <w:szCs w:val="24"/>
                <w:lang w:val="en-US" w:eastAsia="zh-CN"/>
              </w:rPr>
              <w:t>为</w:t>
            </w:r>
            <w:r>
              <w:rPr>
                <w:rFonts w:hint="eastAsia" w:cs="Times New Roman"/>
                <w:color w:val="auto"/>
                <w:sz w:val="24"/>
                <w:szCs w:val="24"/>
                <w:lang w:val="en-US" w:eastAsia="zh-CN"/>
              </w:rPr>
              <w:t>原水的25%，废水量为9.3</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1395</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p>
          <w:p>
            <w:pPr>
              <w:keepNext/>
              <w:keepLines/>
              <w:pageBreakBefore w:val="0"/>
              <w:bidi w:val="0"/>
              <w:spacing w:line="360" w:lineRule="auto"/>
              <w:ind w:firstLine="472" w:firstLineChars="196"/>
              <w:jc w:val="left"/>
              <w:rPr>
                <w:rFonts w:hint="default" w:ascii="Times New Roman" w:hAnsi="Times New Roman" w:eastAsia="宋体" w:cs="Times New Roman"/>
                <w:b/>
                <w:bCs w:val="0"/>
                <w:color w:val="auto"/>
                <w:sz w:val="24"/>
                <w:szCs w:val="24"/>
                <w:lang w:val="en-US" w:eastAsia="zh-CN"/>
              </w:rPr>
            </w:pPr>
            <w:r>
              <w:rPr>
                <w:rFonts w:hint="default" w:ascii="Times New Roman" w:hAnsi="Times New Roman" w:eastAsia="宋体" w:cs="Times New Roman"/>
                <w:b/>
                <w:bCs w:val="0"/>
                <w:color w:val="auto"/>
                <w:sz w:val="24"/>
                <w:szCs w:val="24"/>
                <w:lang w:val="en-US" w:eastAsia="zh-CN"/>
              </w:rPr>
              <w:t>热水锅炉</w:t>
            </w:r>
          </w:p>
          <w:p>
            <w:pPr>
              <w:pStyle w:val="60"/>
              <w:keepNext/>
              <w:keepLines/>
              <w:pageBreakBefore w:val="0"/>
              <w:bidi w:val="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项目建设总计5t/h燃气热水锅炉（热水系统），1台锅炉年运行257d（除去放假期间锅炉低能耗运行时间），日实际运行</w:t>
            </w:r>
            <w:r>
              <w:rPr>
                <w:rFonts w:hint="eastAsia" w:cs="Times New Roman"/>
                <w:color w:val="auto"/>
                <w:sz w:val="24"/>
                <w:szCs w:val="24"/>
                <w:lang w:val="en-US" w:eastAsia="zh-CN"/>
              </w:rPr>
              <w:t>约6</w:t>
            </w:r>
            <w:r>
              <w:rPr>
                <w:rFonts w:hint="default" w:ascii="Times New Roman" w:hAnsi="Times New Roman" w:eastAsia="宋体" w:cs="Times New Roman"/>
                <w:color w:val="auto"/>
                <w:sz w:val="24"/>
                <w:szCs w:val="24"/>
                <w:lang w:val="en-US" w:eastAsia="zh-CN"/>
              </w:rPr>
              <w:t>h，根据《果洛海东中学建设项目可行性研究报告》，循环水量约为Q=240.8m³/h，锅炉补充水量为2.91m³/h（</w:t>
            </w:r>
            <w:r>
              <w:rPr>
                <w:rFonts w:hint="eastAsia" w:cs="Times New Roman"/>
                <w:color w:val="auto"/>
                <w:sz w:val="24"/>
                <w:szCs w:val="24"/>
                <w:lang w:val="en-US" w:eastAsia="zh-CN"/>
              </w:rPr>
              <w:t>17.46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4487.22</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/a）锅炉排污水按补充水量的4%计，则锅炉排污水为</w:t>
            </w:r>
            <w:r>
              <w:rPr>
                <w:rFonts w:hint="eastAsia" w:cs="Times New Roman"/>
                <w:color w:val="auto"/>
                <w:sz w:val="24"/>
                <w:szCs w:val="24"/>
                <w:lang w:val="en-US" w:eastAsia="zh-CN"/>
              </w:rPr>
              <w:t>0.7</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179.9</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/a），锅炉损耗水量为</w:t>
            </w:r>
            <w:r>
              <w:rPr>
                <w:rFonts w:hint="eastAsia" w:cs="Times New Roman"/>
                <w:color w:val="auto"/>
                <w:sz w:val="24"/>
                <w:szCs w:val="24"/>
                <w:lang w:val="en-US" w:eastAsia="zh-CN"/>
              </w:rPr>
              <w:t>16.76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4307.32</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color w:val="auto"/>
                <w:sz w:val="24"/>
                <w:szCs w:val="24"/>
                <w:lang w:val="en-US" w:eastAsia="zh-CN"/>
              </w:rPr>
              <w:t>锅炉补充水需要使用软化水装置制取。软化水制取装置采取离子交换树脂法，</w:t>
            </w:r>
            <w:r>
              <w:rPr>
                <w:rFonts w:hint="eastAsia" w:cs="Times New Roman"/>
                <w:color w:val="auto"/>
                <w:sz w:val="24"/>
                <w:szCs w:val="24"/>
                <w:lang w:val="en-US" w:eastAsia="zh-CN"/>
              </w:rPr>
              <w:t>软水制备率约75%</w:t>
            </w:r>
            <w:r>
              <w:rPr>
                <w:rFonts w:hint="default" w:ascii="Times New Roman" w:hAnsi="Times New Roman" w:eastAsia="宋体" w:cs="Times New Roman"/>
                <w:color w:val="auto"/>
                <w:sz w:val="24"/>
                <w:szCs w:val="24"/>
                <w:lang w:val="en-US" w:eastAsia="zh-CN"/>
              </w:rPr>
              <w:t>，则</w:t>
            </w:r>
            <w:r>
              <w:rPr>
                <w:rFonts w:hint="eastAsia" w:cs="Times New Roman"/>
                <w:color w:val="auto"/>
                <w:sz w:val="24"/>
                <w:szCs w:val="24"/>
                <w:lang w:val="en-US" w:eastAsia="zh-CN"/>
              </w:rPr>
              <w:t>原水（</w:t>
            </w:r>
            <w:r>
              <w:rPr>
                <w:rFonts w:hint="default" w:ascii="Times New Roman" w:hAnsi="Times New Roman" w:eastAsia="宋体" w:cs="Times New Roman"/>
                <w:color w:val="auto"/>
                <w:sz w:val="24"/>
                <w:szCs w:val="24"/>
                <w:lang w:val="en-US" w:eastAsia="zh-CN"/>
              </w:rPr>
              <w:t>热水锅炉</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需水量为</w:t>
            </w:r>
            <w:r>
              <w:rPr>
                <w:rFonts w:hint="eastAsia" w:cs="Times New Roman"/>
                <w:color w:val="auto"/>
                <w:sz w:val="24"/>
                <w:szCs w:val="24"/>
                <w:lang w:val="en-US" w:eastAsia="zh-CN"/>
              </w:rPr>
              <w:t>23.28</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5982.96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/a），离子交换树脂反冲洗</w:t>
            </w:r>
            <w:r>
              <w:rPr>
                <w:rFonts w:hint="eastAsia" w:cs="Times New Roman"/>
                <w:color w:val="auto"/>
                <w:sz w:val="24"/>
                <w:szCs w:val="24"/>
                <w:lang w:val="en-US" w:eastAsia="zh-CN"/>
              </w:rPr>
              <w:t>废水</w:t>
            </w:r>
            <w:r>
              <w:rPr>
                <w:rFonts w:hint="default" w:ascii="Times New Roman" w:hAnsi="Times New Roman" w:eastAsia="宋体" w:cs="Times New Roman"/>
                <w:color w:val="auto"/>
                <w:sz w:val="24"/>
                <w:szCs w:val="24"/>
                <w:lang w:val="en-US" w:eastAsia="zh-CN"/>
              </w:rPr>
              <w:t>为</w:t>
            </w:r>
            <w:r>
              <w:rPr>
                <w:rFonts w:hint="eastAsia" w:cs="Times New Roman"/>
                <w:color w:val="auto"/>
                <w:sz w:val="24"/>
                <w:szCs w:val="24"/>
                <w:lang w:val="en-US" w:eastAsia="zh-CN"/>
              </w:rPr>
              <w:t>原水的25%，废水量5.82</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1495.74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④绿化用水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校区绿化面积为47402.72m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，绿化用水按 2.0L/（m</w:t>
            </w:r>
            <w:r>
              <w:rPr>
                <w:rFonts w:hint="default" w:ascii="Times New Roman" w:hAnsi="Times New Roman" w:eastAsia="宋体" w:cs="Times New Roman"/>
                <w:bCs/>
                <w:color w:val="auto"/>
                <w:sz w:val="24"/>
                <w:vertAlign w:val="superscript"/>
                <w:lang w:val="en-US" w:eastAsia="zh-CN"/>
              </w:rPr>
              <w:t>2</w:t>
            </w:r>
            <w:r>
              <w:rPr>
                <w:rFonts w:hint="default" w:ascii="Times New Roman" w:hAnsi="Times New Roman" w:eastAsia="宋体" w:cs="Times New Roman"/>
                <w:bCs/>
                <w:color w:val="auto"/>
                <w:sz w:val="24"/>
                <w:lang w:val="en-US" w:eastAsia="zh-CN"/>
              </w:rPr>
              <w:t>•d），绿化时间按180天计，则项目理论绿化用水量为94.8</w:t>
            </w:r>
            <w:r>
              <w:rPr>
                <w:rFonts w:hint="default" w:ascii="Times New Roman" w:hAnsi="Times New Roman" w:eastAsia="宋体" w:cs="Times New Roman"/>
                <w:color w:val="auto"/>
                <w:lang w:val="en-US" w:eastAsia="zh-CN"/>
              </w:rPr>
              <w:t>m</w:t>
            </w:r>
            <w:r>
              <w:rPr>
                <w:rFonts w:hint="default" w:ascii="Times New Roman" w:hAnsi="Times New Roman" w:eastAsia="宋体" w:cs="Times New Roman"/>
                <w:color w:val="auto"/>
                <w:vertAlign w:val="superscript"/>
                <w:lang w:val="en-US" w:eastAsia="zh-CN"/>
              </w:rPr>
              <w:t>3</w:t>
            </w:r>
            <w:r>
              <w:rPr>
                <w:rFonts w:hint="default" w:ascii="Times New Roman" w:hAnsi="Times New Roman" w:eastAsia="宋体" w:cs="Times New Roman"/>
                <w:bCs/>
                <w:color w:val="auto"/>
                <w:sz w:val="24"/>
                <w:lang w:val="en-US" w:eastAsia="zh-CN"/>
              </w:rPr>
              <w:t>/d（17064</w:t>
            </w:r>
            <w:r>
              <w:rPr>
                <w:rFonts w:hint="default" w:ascii="Times New Roman" w:hAnsi="Times New Roman" w:eastAsia="宋体" w:cs="Times New Roman"/>
                <w:color w:val="auto"/>
                <w:lang w:val="en-US" w:eastAsia="zh-CN"/>
              </w:rPr>
              <w:t>m</w:t>
            </w:r>
            <w:r>
              <w:rPr>
                <w:rFonts w:hint="default" w:ascii="Times New Roman" w:hAnsi="Times New Roman" w:eastAsia="宋体" w:cs="Times New Roman"/>
                <w:color w:val="auto"/>
                <w:vertAlign w:val="superscript"/>
                <w:lang w:val="en-US" w:eastAsia="zh-CN"/>
              </w:rPr>
              <w:t>3</w:t>
            </w:r>
            <w:r>
              <w:rPr>
                <w:rFonts w:hint="default" w:ascii="Times New Roman" w:hAnsi="Times New Roman" w:eastAsia="宋体" w:cs="Times New Roman"/>
                <w:bCs/>
                <w:color w:val="auto"/>
                <w:sz w:val="24"/>
                <w:lang w:val="en-US" w:eastAsia="zh-CN"/>
              </w:rPr>
              <w:t>/a）。</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（3）排水工程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该项目排水采用雨污分流制排水系统。主要分设污水和雨水排水系统两套系统。污水系统与雨水排水系统中的废水分别经过以下的处理：</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生活污水经过隔油池+化粪池处理之后，排入市政污水处理系统；实验室废水经实验室废水处理装置处理后排入化粪池，一起进入市政污水处理系统；锅炉房废水为清净下水，直接排入污水管网。</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 xml:space="preserve">雨水排水系统：屋面雨水经建筑物排雨水管，埋地接入室外雨水管网。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项目运营期废水主要为生活污水、实验室废水和锅炉</w:t>
            </w:r>
            <w:r>
              <w:rPr>
                <w:rFonts w:hint="eastAsia" w:cs="Times New Roman"/>
                <w:bCs/>
                <w:color w:val="auto"/>
                <w:sz w:val="24"/>
                <w:lang w:val="en-US" w:eastAsia="zh-CN"/>
              </w:rPr>
              <w:t>房</w:t>
            </w:r>
            <w:r>
              <w:rPr>
                <w:rFonts w:hint="default" w:ascii="Times New Roman" w:hAnsi="Times New Roman" w:eastAsia="宋体" w:cs="Times New Roman"/>
                <w:bCs/>
                <w:color w:val="auto"/>
                <w:sz w:val="24"/>
                <w:lang w:val="en-US" w:eastAsia="zh-CN"/>
              </w:rPr>
              <w:t>排污水。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①生活污水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lang w:val="en-US" w:eastAsia="zh-CN"/>
              </w:rPr>
              <w:t>生活污水产生量按用水量的80%计算，则生活污水产生量为256.09m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/d（64022.4m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 xml:space="preserve">/a）； </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②实验废水</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实验室用水包含试剂配制、器皿、试验台清洗等。</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含化学试剂的实验残液全部分类收集，作为危废交有资质的单位处理。</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实验室废水仅为器皿及试实验台清洗水，按用水量的90%计算，实验室废水排放量为180m</w:t>
            </w:r>
            <w:r>
              <w:rPr>
                <w:rFonts w:hint="default" w:ascii="Times New Roman" w:hAnsi="Times New Roman" w:eastAsia="宋体" w:cs="Times New Roman"/>
                <w:bCs/>
                <w:color w:val="auto"/>
                <w:sz w:val="24"/>
                <w:vertAlign w:val="superscript"/>
                <w:lang w:val="en-US" w:eastAsia="zh-CN"/>
              </w:rPr>
              <w:t>3</w:t>
            </w:r>
            <w:r>
              <w:rPr>
                <w:rFonts w:hint="default" w:ascii="Times New Roman" w:hAnsi="Times New Roman" w:eastAsia="宋体" w:cs="Times New Roman"/>
                <w:bCs/>
                <w:color w:val="auto"/>
                <w:sz w:val="24"/>
                <w:lang w:val="en-US" w:eastAsia="zh-CN"/>
              </w:rPr>
              <w:t>/a，实验室废水经实验室废水处理装置处理后与生活污水一起排入化粪池处理达到《污水排入城镇下水道水质标准》（GB/T31962-2015）表1中B级标准后，经市政管网接入乐都区污水处理厂。</w:t>
            </w:r>
          </w:p>
          <w:p>
            <w:pPr>
              <w:keepNext/>
              <w:keepLines/>
              <w:pageBreakBefore w:val="0"/>
              <w:bidi w:val="0"/>
              <w:spacing w:line="360" w:lineRule="auto"/>
              <w:ind w:firstLine="470" w:firstLineChars="196"/>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③锅炉房废水</w:t>
            </w:r>
          </w:p>
          <w:p>
            <w:pPr>
              <w:pStyle w:val="60"/>
              <w:keepNext/>
              <w:keepLines/>
              <w:pageBreakBefore w:val="0"/>
              <w:bidi w:val="0"/>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color w:val="auto"/>
                <w:lang w:val="en-US" w:eastAsia="zh-CN"/>
              </w:rPr>
              <w:t>根据公用工程中锅炉房用水计算过程可知，</w:t>
            </w:r>
            <w:r>
              <w:rPr>
                <w:rFonts w:hint="default" w:ascii="Times New Roman" w:hAnsi="Times New Roman" w:eastAsia="宋体" w:cs="Times New Roman"/>
                <w:color w:val="auto"/>
                <w:sz w:val="24"/>
                <w:szCs w:val="24"/>
                <w:lang w:val="en-US" w:eastAsia="zh-CN"/>
              </w:rPr>
              <w:t>则供暖锅炉排污水为</w:t>
            </w:r>
            <w:r>
              <w:rPr>
                <w:rFonts w:hint="eastAsia" w:cs="Times New Roman"/>
                <w:color w:val="auto"/>
                <w:sz w:val="24"/>
                <w:szCs w:val="24"/>
                <w:lang w:val="en-US" w:eastAsia="zh-CN"/>
              </w:rPr>
              <w:t>1.116</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167.4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r>
              <w:rPr>
                <w:rFonts w:hint="default" w:ascii="Times New Roman" w:hAnsi="Times New Roman" w:eastAsia="宋体" w:cs="Times New Roman"/>
                <w:color w:val="auto"/>
                <w:lang w:val="en-US" w:eastAsia="zh-CN"/>
              </w:rPr>
              <w:t>，</w:t>
            </w:r>
            <w:r>
              <w:rPr>
                <w:rFonts w:hint="eastAsia" w:cs="Times New Roman"/>
                <w:color w:val="auto"/>
                <w:lang w:val="en-US" w:eastAsia="zh-CN"/>
              </w:rPr>
              <w:t>该部分</w:t>
            </w:r>
            <w:r>
              <w:rPr>
                <w:rFonts w:hint="default" w:ascii="Times New Roman" w:hAnsi="Times New Roman" w:eastAsia="宋体" w:cs="Times New Roman"/>
                <w:color w:val="auto"/>
                <w:sz w:val="24"/>
                <w:szCs w:val="24"/>
                <w:lang w:val="en-US" w:eastAsia="zh-CN"/>
              </w:rPr>
              <w:t>产生的离子交换树脂反冲洗</w:t>
            </w:r>
            <w:r>
              <w:rPr>
                <w:rFonts w:hint="eastAsia" w:cs="Times New Roman"/>
                <w:color w:val="auto"/>
                <w:sz w:val="24"/>
                <w:szCs w:val="24"/>
                <w:lang w:val="en-US" w:eastAsia="zh-CN"/>
              </w:rPr>
              <w:t>废水</w:t>
            </w:r>
            <w:r>
              <w:rPr>
                <w:rFonts w:hint="default" w:ascii="Times New Roman" w:hAnsi="Times New Roman" w:eastAsia="宋体" w:cs="Times New Roman"/>
                <w:color w:val="auto"/>
                <w:sz w:val="24"/>
                <w:szCs w:val="24"/>
                <w:lang w:val="en-US" w:eastAsia="zh-CN"/>
              </w:rPr>
              <w:t>为</w:t>
            </w:r>
            <w:r>
              <w:rPr>
                <w:rFonts w:hint="eastAsia" w:cs="Times New Roman"/>
                <w:color w:val="auto"/>
                <w:sz w:val="24"/>
                <w:szCs w:val="24"/>
                <w:lang w:val="en-US" w:eastAsia="zh-CN"/>
              </w:rPr>
              <w:t>9.3</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1395</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/a）；热水锅炉排污水为</w:t>
            </w:r>
            <w:r>
              <w:rPr>
                <w:rFonts w:hint="eastAsia" w:cs="Times New Roman"/>
                <w:color w:val="auto"/>
                <w:sz w:val="24"/>
                <w:szCs w:val="24"/>
                <w:lang w:val="en-US" w:eastAsia="zh-CN"/>
              </w:rPr>
              <w:t>0.7</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179.9</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r>
              <w:rPr>
                <w:rFonts w:hint="default" w:ascii="Times New Roman" w:hAnsi="Times New Roman" w:eastAsia="宋体" w:cs="Times New Roman"/>
                <w:color w:val="auto"/>
                <w:lang w:val="en-US" w:eastAsia="zh-CN"/>
              </w:rPr>
              <w:t>，</w:t>
            </w:r>
            <w:r>
              <w:rPr>
                <w:rFonts w:hint="eastAsia" w:cs="Times New Roman"/>
                <w:color w:val="auto"/>
                <w:lang w:val="en-US" w:eastAsia="zh-CN"/>
              </w:rPr>
              <w:t>该部分</w:t>
            </w:r>
            <w:r>
              <w:rPr>
                <w:rFonts w:hint="default" w:ascii="Times New Roman" w:hAnsi="Times New Roman" w:eastAsia="宋体" w:cs="Times New Roman"/>
                <w:color w:val="auto"/>
                <w:sz w:val="24"/>
                <w:szCs w:val="24"/>
                <w:lang w:val="en-US" w:eastAsia="zh-CN"/>
              </w:rPr>
              <w:t>产生的离子交换树脂反冲洗</w:t>
            </w:r>
            <w:r>
              <w:rPr>
                <w:rFonts w:hint="eastAsia" w:cs="Times New Roman"/>
                <w:color w:val="auto"/>
                <w:sz w:val="24"/>
                <w:szCs w:val="24"/>
                <w:lang w:val="en-US" w:eastAsia="zh-CN"/>
              </w:rPr>
              <w:t>废水</w:t>
            </w:r>
            <w:r>
              <w:rPr>
                <w:rFonts w:hint="default" w:ascii="Times New Roman" w:hAnsi="Times New Roman" w:eastAsia="宋体" w:cs="Times New Roman"/>
                <w:color w:val="auto"/>
                <w:sz w:val="24"/>
                <w:szCs w:val="24"/>
                <w:lang w:val="en-US" w:eastAsia="zh-CN"/>
              </w:rPr>
              <w:t>为</w:t>
            </w:r>
            <w:r>
              <w:rPr>
                <w:rFonts w:hint="eastAsia" w:cs="Times New Roman"/>
                <w:color w:val="auto"/>
                <w:sz w:val="24"/>
                <w:szCs w:val="24"/>
                <w:lang w:val="en-US" w:eastAsia="zh-CN"/>
              </w:rPr>
              <w:t>5.82</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/d（</w:t>
            </w:r>
            <w:r>
              <w:rPr>
                <w:rFonts w:hint="eastAsia" w:cs="Times New Roman"/>
                <w:color w:val="auto"/>
                <w:sz w:val="24"/>
                <w:szCs w:val="24"/>
                <w:lang w:val="en-US" w:eastAsia="zh-CN"/>
              </w:rPr>
              <w:t>1495.74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r>
              <w:rPr>
                <w:rFonts w:hint="default" w:ascii="Times New Roman" w:hAnsi="Times New Roman" w:eastAsia="宋体" w:cs="Times New Roman"/>
                <w:color w:val="auto"/>
                <w:lang w:val="en-US" w:eastAsia="zh-CN"/>
              </w:rPr>
              <w:t>锅炉房排污水为</w:t>
            </w:r>
            <w:r>
              <w:rPr>
                <w:rFonts w:hint="eastAsia" w:cs="Times New Roman"/>
                <w:color w:val="auto"/>
                <w:lang w:val="en-US" w:eastAsia="zh-CN"/>
              </w:rPr>
              <w:t>347.3</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/a，反冲洗</w:t>
            </w:r>
            <w:r>
              <w:rPr>
                <w:rFonts w:hint="eastAsia" w:cs="Times New Roman"/>
                <w:color w:val="auto"/>
                <w:sz w:val="24"/>
                <w:szCs w:val="24"/>
                <w:lang w:val="en-US" w:eastAsia="zh-CN"/>
              </w:rPr>
              <w:t>废</w:t>
            </w:r>
            <w:r>
              <w:rPr>
                <w:rFonts w:hint="default" w:ascii="Times New Roman" w:hAnsi="Times New Roman" w:eastAsia="宋体" w:cs="Times New Roman"/>
                <w:color w:val="auto"/>
                <w:sz w:val="24"/>
                <w:szCs w:val="24"/>
                <w:lang w:val="en-US" w:eastAsia="zh-CN"/>
              </w:rPr>
              <w:t>水</w:t>
            </w:r>
            <w:r>
              <w:rPr>
                <w:rFonts w:hint="eastAsia" w:cs="Times New Roman"/>
                <w:color w:val="auto"/>
                <w:sz w:val="24"/>
                <w:szCs w:val="24"/>
                <w:lang w:val="en-US" w:eastAsia="zh-CN"/>
              </w:rPr>
              <w:t>2890.74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/a，锅炉房产生的废水</w:t>
            </w:r>
            <w:r>
              <w:rPr>
                <w:rFonts w:hint="default" w:ascii="Times New Roman" w:hAnsi="Times New Roman" w:eastAsia="宋体" w:cs="Times New Roman"/>
                <w:color w:val="auto"/>
                <w:lang w:val="en-US" w:eastAsia="zh-CN"/>
              </w:rPr>
              <w:t>为清净下水，可直接排入</w:t>
            </w:r>
            <w:r>
              <w:rPr>
                <w:rFonts w:hint="eastAsia" w:cs="Times New Roman"/>
                <w:color w:val="auto"/>
                <w:lang w:val="en-US" w:eastAsia="zh-CN"/>
              </w:rPr>
              <w:t>污水</w:t>
            </w:r>
            <w:r>
              <w:rPr>
                <w:rFonts w:hint="default" w:ascii="Times New Roman" w:hAnsi="Times New Roman" w:eastAsia="宋体" w:cs="Times New Roman"/>
                <w:color w:val="auto"/>
                <w:lang w:val="en-US" w:eastAsia="zh-CN"/>
              </w:rPr>
              <w:t>管网。</w:t>
            </w:r>
            <w:r>
              <w:rPr>
                <w:rFonts w:hint="default" w:ascii="Times New Roman" w:hAnsi="Times New Roman" w:eastAsia="宋体" w:cs="Times New Roman"/>
                <w:bCs/>
                <w:color w:val="auto"/>
                <w:sz w:val="24"/>
                <w:lang w:val="en-US" w:eastAsia="zh-CN"/>
              </w:rPr>
              <w:t>项目用水、排水情况见见表2-5。</w:t>
            </w:r>
          </w:p>
          <w:p>
            <w:pPr>
              <w:pStyle w:val="27"/>
              <w:bidi w:val="0"/>
              <w:spacing w:line="360" w:lineRule="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表2-5  本项目用水、排水一览表</w:t>
            </w:r>
          </w:p>
          <w:tbl>
            <w:tblPr>
              <w:tblStyle w:val="21"/>
              <w:tblW w:w="80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893"/>
              <w:gridCol w:w="1083"/>
              <w:gridCol w:w="1488"/>
              <w:gridCol w:w="1465"/>
              <w:gridCol w:w="1346"/>
              <w:gridCol w:w="10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21" w:type="dxa"/>
                  <w:tcBorders>
                    <w:tl2br w:val="nil"/>
                    <w:tr2bl w:val="nil"/>
                  </w:tcBorders>
                  <w:vAlign w:val="center"/>
                </w:tcPr>
                <w:p>
                  <w:pPr>
                    <w:snapToGrid w:val="0"/>
                    <w:spacing w:line="360" w:lineRule="auto"/>
                    <w:jc w:val="center"/>
                    <w:rPr>
                      <w:szCs w:val="21"/>
                    </w:rPr>
                  </w:pPr>
                  <w:r>
                    <w:rPr>
                      <w:szCs w:val="21"/>
                    </w:rPr>
                    <w:t>序号</w:t>
                  </w:r>
                </w:p>
              </w:tc>
              <w:tc>
                <w:tcPr>
                  <w:tcW w:w="1976" w:type="dxa"/>
                  <w:gridSpan w:val="2"/>
                  <w:tcBorders>
                    <w:tl2br w:val="nil"/>
                    <w:tr2bl w:val="nil"/>
                  </w:tcBorders>
                  <w:vAlign w:val="center"/>
                </w:tcPr>
                <w:p>
                  <w:pPr>
                    <w:snapToGrid w:val="0"/>
                    <w:spacing w:line="360" w:lineRule="auto"/>
                    <w:jc w:val="center"/>
                    <w:rPr>
                      <w:szCs w:val="21"/>
                    </w:rPr>
                  </w:pPr>
                  <w:r>
                    <w:rPr>
                      <w:szCs w:val="21"/>
                    </w:rPr>
                    <w:t>项目</w:t>
                  </w:r>
                </w:p>
              </w:tc>
              <w:tc>
                <w:tcPr>
                  <w:tcW w:w="1488" w:type="dxa"/>
                  <w:tcBorders>
                    <w:tl2br w:val="nil"/>
                    <w:tr2bl w:val="nil"/>
                  </w:tcBorders>
                  <w:vAlign w:val="center"/>
                </w:tcPr>
                <w:p>
                  <w:pPr>
                    <w:snapToGrid w:val="0"/>
                    <w:spacing w:line="360" w:lineRule="auto"/>
                    <w:jc w:val="center"/>
                    <w:rPr>
                      <w:szCs w:val="21"/>
                    </w:rPr>
                  </w:pPr>
                  <w:r>
                    <w:rPr>
                      <w:rFonts w:hint="eastAsia"/>
                      <w:szCs w:val="21"/>
                      <w:lang w:val="en-US" w:eastAsia="zh-CN"/>
                    </w:rPr>
                    <w:t>自来水用</w:t>
                  </w:r>
                  <w:r>
                    <w:rPr>
                      <w:szCs w:val="21"/>
                    </w:rPr>
                    <w:t>量m</w:t>
                  </w:r>
                  <w:r>
                    <w:rPr>
                      <w:szCs w:val="21"/>
                      <w:vertAlign w:val="superscript"/>
                    </w:rPr>
                    <w:t>3</w:t>
                  </w:r>
                  <w:r>
                    <w:rPr>
                      <w:szCs w:val="21"/>
                    </w:rPr>
                    <w:t>/a</w:t>
                  </w:r>
                </w:p>
              </w:tc>
              <w:tc>
                <w:tcPr>
                  <w:tcW w:w="1465" w:type="dxa"/>
                  <w:tcBorders>
                    <w:tl2br w:val="nil"/>
                    <w:tr2bl w:val="nil"/>
                  </w:tcBorders>
                  <w:vAlign w:val="center"/>
                </w:tcPr>
                <w:p>
                  <w:pPr>
                    <w:snapToGrid w:val="0"/>
                    <w:spacing w:line="360" w:lineRule="auto"/>
                    <w:jc w:val="center"/>
                    <w:rPr>
                      <w:szCs w:val="21"/>
                    </w:rPr>
                  </w:pPr>
                  <w:r>
                    <w:rPr>
                      <w:szCs w:val="21"/>
                    </w:rPr>
                    <w:t>损耗量m</w:t>
                  </w:r>
                  <w:r>
                    <w:rPr>
                      <w:szCs w:val="21"/>
                      <w:vertAlign w:val="superscript"/>
                    </w:rPr>
                    <w:t>3</w:t>
                  </w:r>
                  <w:r>
                    <w:rPr>
                      <w:szCs w:val="21"/>
                    </w:rPr>
                    <w:t>/a</w:t>
                  </w:r>
                </w:p>
              </w:tc>
              <w:tc>
                <w:tcPr>
                  <w:tcW w:w="1346" w:type="dxa"/>
                  <w:tcBorders>
                    <w:tl2br w:val="nil"/>
                    <w:tr2bl w:val="nil"/>
                  </w:tcBorders>
                  <w:vAlign w:val="center"/>
                </w:tcPr>
                <w:p>
                  <w:pPr>
                    <w:snapToGrid w:val="0"/>
                    <w:spacing w:line="360" w:lineRule="auto"/>
                    <w:jc w:val="center"/>
                    <w:rPr>
                      <w:szCs w:val="21"/>
                    </w:rPr>
                  </w:pPr>
                  <w:r>
                    <w:rPr>
                      <w:szCs w:val="21"/>
                    </w:rPr>
                    <w:t>排放量m</w:t>
                  </w:r>
                  <w:r>
                    <w:rPr>
                      <w:szCs w:val="21"/>
                      <w:vertAlign w:val="superscript"/>
                    </w:rPr>
                    <w:t>3</w:t>
                  </w:r>
                  <w:r>
                    <w:rPr>
                      <w:szCs w:val="21"/>
                    </w:rPr>
                    <w:t>/a</w:t>
                  </w:r>
                </w:p>
              </w:tc>
              <w:tc>
                <w:tcPr>
                  <w:tcW w:w="1074" w:type="dxa"/>
                  <w:tcBorders>
                    <w:tl2br w:val="nil"/>
                    <w:tr2bl w:val="nil"/>
                  </w:tcBorders>
                  <w:vAlign w:val="center"/>
                </w:tcPr>
                <w:p>
                  <w:pPr>
                    <w:snapToGrid w:val="0"/>
                    <w:spacing w:line="360" w:lineRule="auto"/>
                    <w:jc w:val="center"/>
                    <w:rPr>
                      <w:szCs w:val="21"/>
                    </w:rPr>
                  </w:pPr>
                  <w:r>
                    <w:rPr>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tcBorders>
                    <w:tl2br w:val="nil"/>
                    <w:tr2bl w:val="nil"/>
                  </w:tcBorders>
                  <w:vAlign w:val="center"/>
                </w:tcPr>
                <w:p>
                  <w:pPr>
                    <w:snapToGrid w:val="0"/>
                    <w:spacing w:line="360" w:lineRule="auto"/>
                    <w:jc w:val="center"/>
                    <w:rPr>
                      <w:szCs w:val="21"/>
                    </w:rPr>
                  </w:pPr>
                  <w:r>
                    <w:rPr>
                      <w:szCs w:val="21"/>
                    </w:rPr>
                    <w:t>1</w:t>
                  </w:r>
                </w:p>
              </w:tc>
              <w:tc>
                <w:tcPr>
                  <w:tcW w:w="1976" w:type="dxa"/>
                  <w:gridSpan w:val="2"/>
                  <w:tcBorders>
                    <w:tl2br w:val="nil"/>
                    <w:tr2bl w:val="nil"/>
                  </w:tcBorders>
                  <w:vAlign w:val="center"/>
                </w:tcPr>
                <w:p>
                  <w:pPr>
                    <w:snapToGrid w:val="0"/>
                    <w:spacing w:line="360" w:lineRule="auto"/>
                    <w:jc w:val="center"/>
                    <w:rPr>
                      <w:szCs w:val="21"/>
                    </w:rPr>
                  </w:pPr>
                  <w:r>
                    <w:rPr>
                      <w:szCs w:val="21"/>
                    </w:rPr>
                    <w:t>生活用水</w:t>
                  </w:r>
                </w:p>
              </w:tc>
              <w:tc>
                <w:tcPr>
                  <w:tcW w:w="1488" w:type="dxa"/>
                  <w:tcBorders>
                    <w:tl2br w:val="nil"/>
                    <w:tr2bl w:val="nil"/>
                  </w:tcBorders>
                  <w:vAlign w:val="center"/>
                </w:tcPr>
                <w:p>
                  <w:pPr>
                    <w:snapToGrid w:val="0"/>
                    <w:spacing w:line="360" w:lineRule="auto"/>
                    <w:jc w:val="center"/>
                    <w:rPr>
                      <w:szCs w:val="21"/>
                    </w:rPr>
                  </w:pPr>
                  <w:r>
                    <w:rPr>
                      <w:szCs w:val="21"/>
                    </w:rPr>
                    <w:t>80028</w:t>
                  </w:r>
                </w:p>
              </w:tc>
              <w:tc>
                <w:tcPr>
                  <w:tcW w:w="1465" w:type="dxa"/>
                  <w:tcBorders>
                    <w:tl2br w:val="nil"/>
                    <w:tr2bl w:val="nil"/>
                  </w:tcBorders>
                  <w:vAlign w:val="center"/>
                </w:tcPr>
                <w:p>
                  <w:pPr>
                    <w:snapToGrid w:val="0"/>
                    <w:spacing w:line="360" w:lineRule="auto"/>
                    <w:jc w:val="center"/>
                    <w:rPr>
                      <w:szCs w:val="21"/>
                    </w:rPr>
                  </w:pPr>
                  <w:r>
                    <w:rPr>
                      <w:szCs w:val="21"/>
                    </w:rPr>
                    <w:t>16005.6</w:t>
                  </w:r>
                </w:p>
              </w:tc>
              <w:tc>
                <w:tcPr>
                  <w:tcW w:w="1346" w:type="dxa"/>
                  <w:tcBorders>
                    <w:tl2br w:val="nil"/>
                    <w:tr2bl w:val="nil"/>
                  </w:tcBorders>
                  <w:vAlign w:val="center"/>
                </w:tcPr>
                <w:p>
                  <w:pPr>
                    <w:snapToGrid w:val="0"/>
                    <w:spacing w:line="360" w:lineRule="auto"/>
                    <w:jc w:val="center"/>
                    <w:rPr>
                      <w:color w:val="FF0000"/>
                      <w:szCs w:val="21"/>
                    </w:rPr>
                  </w:pPr>
                  <w:r>
                    <w:rPr>
                      <w:szCs w:val="21"/>
                    </w:rPr>
                    <w:t>64022.4</w:t>
                  </w:r>
                </w:p>
              </w:tc>
              <w:tc>
                <w:tcPr>
                  <w:tcW w:w="1074" w:type="dxa"/>
                  <w:vMerge w:val="restart"/>
                  <w:tcBorders>
                    <w:tl2br w:val="nil"/>
                    <w:tr2bl w:val="nil"/>
                  </w:tcBorders>
                  <w:vAlign w:val="center"/>
                </w:tcPr>
                <w:p>
                  <w:pPr>
                    <w:snapToGrid w:val="0"/>
                    <w:spacing w:line="360" w:lineRule="auto"/>
                    <w:jc w:val="center"/>
                    <w:rPr>
                      <w:rFonts w:hint="eastAsia" w:eastAsia="宋体"/>
                      <w:szCs w:val="21"/>
                      <w:lang w:val="en-US" w:eastAsia="zh-CN"/>
                    </w:rPr>
                  </w:pPr>
                  <w:r>
                    <w:rPr>
                      <w:rFonts w:hint="eastAsia"/>
                      <w:szCs w:val="21"/>
                      <w:lang w:val="en-US" w:eastAsia="zh-CN"/>
                    </w:rPr>
                    <w:t>市政管网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vMerge w:val="restart"/>
                  <w:tcBorders>
                    <w:tl2br w:val="nil"/>
                    <w:tr2bl w:val="nil"/>
                  </w:tcBorders>
                  <w:vAlign w:val="center"/>
                </w:tcPr>
                <w:p>
                  <w:pPr>
                    <w:snapToGrid w:val="0"/>
                    <w:spacing w:line="360" w:lineRule="auto"/>
                    <w:jc w:val="center"/>
                    <w:rPr>
                      <w:szCs w:val="21"/>
                    </w:rPr>
                  </w:pPr>
                  <w:r>
                    <w:rPr>
                      <w:szCs w:val="21"/>
                    </w:rPr>
                    <w:t>2</w:t>
                  </w:r>
                </w:p>
              </w:tc>
              <w:tc>
                <w:tcPr>
                  <w:tcW w:w="893" w:type="dxa"/>
                  <w:vMerge w:val="restart"/>
                  <w:tcBorders>
                    <w:tl2br w:val="nil"/>
                    <w:tr2bl w:val="nil"/>
                  </w:tcBorders>
                  <w:vAlign w:val="center"/>
                </w:tcPr>
                <w:p>
                  <w:pPr>
                    <w:snapToGrid w:val="0"/>
                    <w:spacing w:line="360" w:lineRule="auto"/>
                    <w:jc w:val="center"/>
                    <w:rPr>
                      <w:szCs w:val="21"/>
                    </w:rPr>
                  </w:pPr>
                  <w:r>
                    <w:rPr>
                      <w:szCs w:val="21"/>
                    </w:rPr>
                    <w:t>锅炉用水</w:t>
                  </w:r>
                </w:p>
              </w:tc>
              <w:tc>
                <w:tcPr>
                  <w:tcW w:w="1083" w:type="dxa"/>
                  <w:tcBorders>
                    <w:tl2br w:val="nil"/>
                    <w:tr2bl w:val="nil"/>
                  </w:tcBorders>
                  <w:vAlign w:val="center"/>
                </w:tcPr>
                <w:p>
                  <w:pPr>
                    <w:pStyle w:val="28"/>
                    <w:spacing w:line="360" w:lineRule="auto"/>
                  </w:pPr>
                  <w:r>
                    <w:t>供暖锅炉</w:t>
                  </w:r>
                </w:p>
              </w:tc>
              <w:tc>
                <w:tcPr>
                  <w:tcW w:w="1488"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5580</w:t>
                  </w:r>
                </w:p>
              </w:tc>
              <w:tc>
                <w:tcPr>
                  <w:tcW w:w="1465"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4017.6</w:t>
                  </w:r>
                </w:p>
              </w:tc>
              <w:tc>
                <w:tcPr>
                  <w:tcW w:w="1346" w:type="dxa"/>
                  <w:tcBorders>
                    <w:tl2br w:val="nil"/>
                    <w:tr2bl w:val="nil"/>
                  </w:tcBorders>
                  <w:vAlign w:val="center"/>
                </w:tcPr>
                <w:p>
                  <w:pPr>
                    <w:snapToGrid w:val="0"/>
                    <w:spacing w:line="360" w:lineRule="auto"/>
                    <w:jc w:val="center"/>
                    <w:rPr>
                      <w:rFonts w:hint="default" w:eastAsia="宋体"/>
                      <w:szCs w:val="21"/>
                      <w:highlight w:val="none"/>
                      <w:lang w:val="en-US" w:eastAsia="zh-CN"/>
                    </w:rPr>
                  </w:pPr>
                  <w:r>
                    <w:rPr>
                      <w:rFonts w:hint="eastAsia"/>
                      <w:szCs w:val="21"/>
                      <w:highlight w:val="none"/>
                      <w:lang w:val="en-US" w:eastAsia="zh-CN"/>
                    </w:rPr>
                    <w:t>1562.4</w:t>
                  </w:r>
                </w:p>
              </w:tc>
              <w:tc>
                <w:tcPr>
                  <w:tcW w:w="1074" w:type="dxa"/>
                  <w:vMerge w:val="continue"/>
                  <w:tcBorders>
                    <w:tl2br w:val="nil"/>
                    <w:tr2bl w:val="nil"/>
                  </w:tcBorders>
                  <w:vAlign w:val="center"/>
                </w:tcPr>
                <w:p>
                  <w:pPr>
                    <w:snapToGrid w:val="0"/>
                    <w:spacing w:line="360" w:lineRule="auto"/>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1" w:type="dxa"/>
                  <w:vMerge w:val="continue"/>
                  <w:tcBorders>
                    <w:tl2br w:val="nil"/>
                    <w:tr2bl w:val="nil"/>
                  </w:tcBorders>
                  <w:vAlign w:val="center"/>
                </w:tcPr>
                <w:p>
                  <w:pPr>
                    <w:snapToGrid w:val="0"/>
                    <w:spacing w:line="360" w:lineRule="auto"/>
                    <w:jc w:val="center"/>
                    <w:rPr>
                      <w:szCs w:val="21"/>
                    </w:rPr>
                  </w:pPr>
                </w:p>
              </w:tc>
              <w:tc>
                <w:tcPr>
                  <w:tcW w:w="893" w:type="dxa"/>
                  <w:vMerge w:val="continue"/>
                  <w:tcBorders>
                    <w:tl2br w:val="nil"/>
                    <w:tr2bl w:val="nil"/>
                  </w:tcBorders>
                  <w:vAlign w:val="center"/>
                </w:tcPr>
                <w:p>
                  <w:pPr>
                    <w:snapToGrid w:val="0"/>
                    <w:spacing w:line="360" w:lineRule="auto"/>
                    <w:jc w:val="center"/>
                    <w:rPr>
                      <w:szCs w:val="21"/>
                    </w:rPr>
                  </w:pPr>
                </w:p>
              </w:tc>
              <w:tc>
                <w:tcPr>
                  <w:tcW w:w="1083" w:type="dxa"/>
                  <w:tcBorders>
                    <w:tl2br w:val="nil"/>
                    <w:tr2bl w:val="nil"/>
                  </w:tcBorders>
                </w:tcPr>
                <w:p>
                  <w:pPr>
                    <w:pStyle w:val="28"/>
                    <w:spacing w:line="360" w:lineRule="auto"/>
                  </w:pPr>
                  <w:r>
                    <w:t>热水锅炉</w:t>
                  </w:r>
                </w:p>
              </w:tc>
              <w:tc>
                <w:tcPr>
                  <w:tcW w:w="1488"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5982.96</w:t>
                  </w:r>
                </w:p>
              </w:tc>
              <w:tc>
                <w:tcPr>
                  <w:tcW w:w="1465"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4307.32</w:t>
                  </w:r>
                </w:p>
              </w:tc>
              <w:tc>
                <w:tcPr>
                  <w:tcW w:w="1346" w:type="dxa"/>
                  <w:tcBorders>
                    <w:tl2br w:val="nil"/>
                    <w:tr2bl w:val="nil"/>
                  </w:tcBorders>
                  <w:vAlign w:val="center"/>
                </w:tcPr>
                <w:p>
                  <w:pPr>
                    <w:snapToGrid w:val="0"/>
                    <w:spacing w:line="360" w:lineRule="auto"/>
                    <w:jc w:val="center"/>
                    <w:rPr>
                      <w:rFonts w:hint="default" w:eastAsia="宋体"/>
                      <w:szCs w:val="21"/>
                      <w:highlight w:val="none"/>
                      <w:lang w:val="en-US" w:eastAsia="zh-CN"/>
                    </w:rPr>
                  </w:pPr>
                  <w:r>
                    <w:rPr>
                      <w:rFonts w:hint="eastAsia"/>
                      <w:szCs w:val="21"/>
                      <w:highlight w:val="none"/>
                      <w:lang w:val="en-US" w:eastAsia="zh-CN"/>
                    </w:rPr>
                    <w:t>1675.64</w:t>
                  </w:r>
                </w:p>
              </w:tc>
              <w:tc>
                <w:tcPr>
                  <w:tcW w:w="1074" w:type="dxa"/>
                  <w:vMerge w:val="continue"/>
                  <w:tcBorders>
                    <w:tl2br w:val="nil"/>
                    <w:tr2bl w:val="nil"/>
                  </w:tcBorders>
                  <w:vAlign w:val="center"/>
                </w:tcPr>
                <w:p>
                  <w:pPr>
                    <w:snapToGrid w:val="0"/>
                    <w:spacing w:line="360" w:lineRule="auto"/>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21" w:type="dxa"/>
                  <w:tcBorders>
                    <w:tl2br w:val="nil"/>
                    <w:tr2bl w:val="nil"/>
                  </w:tcBorders>
                  <w:vAlign w:val="center"/>
                </w:tcPr>
                <w:p>
                  <w:pPr>
                    <w:snapToGrid w:val="0"/>
                    <w:spacing w:line="360" w:lineRule="auto"/>
                    <w:jc w:val="center"/>
                    <w:rPr>
                      <w:szCs w:val="21"/>
                    </w:rPr>
                  </w:pPr>
                  <w:r>
                    <w:rPr>
                      <w:szCs w:val="21"/>
                    </w:rPr>
                    <w:t>3</w:t>
                  </w:r>
                </w:p>
              </w:tc>
              <w:tc>
                <w:tcPr>
                  <w:tcW w:w="893" w:type="dxa"/>
                  <w:tcBorders>
                    <w:tl2br w:val="nil"/>
                    <w:tr2bl w:val="nil"/>
                  </w:tcBorders>
                  <w:vAlign w:val="center"/>
                </w:tcPr>
                <w:p>
                  <w:pPr>
                    <w:snapToGrid w:val="0"/>
                    <w:spacing w:line="360" w:lineRule="auto"/>
                    <w:jc w:val="center"/>
                    <w:rPr>
                      <w:szCs w:val="21"/>
                    </w:rPr>
                  </w:pPr>
                  <w:r>
                    <w:rPr>
                      <w:szCs w:val="21"/>
                    </w:rPr>
                    <w:t>实验室</w:t>
                  </w:r>
                </w:p>
              </w:tc>
              <w:tc>
                <w:tcPr>
                  <w:tcW w:w="1083" w:type="dxa"/>
                  <w:tcBorders>
                    <w:tl2br w:val="nil"/>
                    <w:tr2bl w:val="nil"/>
                  </w:tcBorders>
                  <w:vAlign w:val="center"/>
                </w:tcPr>
                <w:p>
                  <w:pPr>
                    <w:snapToGrid w:val="0"/>
                    <w:spacing w:line="360" w:lineRule="auto"/>
                    <w:jc w:val="center"/>
                    <w:rPr>
                      <w:szCs w:val="21"/>
                    </w:rPr>
                  </w:pPr>
                  <w:r>
                    <w:rPr>
                      <w:szCs w:val="21"/>
                    </w:rPr>
                    <w:t>自来水</w:t>
                  </w:r>
                </w:p>
              </w:tc>
              <w:tc>
                <w:tcPr>
                  <w:tcW w:w="1488" w:type="dxa"/>
                  <w:tcBorders>
                    <w:tl2br w:val="nil"/>
                    <w:tr2bl w:val="nil"/>
                  </w:tcBorders>
                  <w:vAlign w:val="center"/>
                </w:tcPr>
                <w:p>
                  <w:pPr>
                    <w:snapToGrid w:val="0"/>
                    <w:spacing w:line="360" w:lineRule="auto"/>
                    <w:jc w:val="center"/>
                    <w:rPr>
                      <w:szCs w:val="21"/>
                    </w:rPr>
                  </w:pPr>
                  <w:r>
                    <w:rPr>
                      <w:szCs w:val="21"/>
                    </w:rPr>
                    <w:t>200</w:t>
                  </w:r>
                </w:p>
              </w:tc>
              <w:tc>
                <w:tcPr>
                  <w:tcW w:w="1465" w:type="dxa"/>
                  <w:tcBorders>
                    <w:tl2br w:val="nil"/>
                    <w:tr2bl w:val="nil"/>
                  </w:tcBorders>
                  <w:vAlign w:val="center"/>
                </w:tcPr>
                <w:p>
                  <w:pPr>
                    <w:snapToGrid w:val="0"/>
                    <w:spacing w:line="360" w:lineRule="auto"/>
                    <w:jc w:val="center"/>
                    <w:rPr>
                      <w:szCs w:val="21"/>
                    </w:rPr>
                  </w:pPr>
                  <w:r>
                    <w:rPr>
                      <w:szCs w:val="21"/>
                    </w:rPr>
                    <w:t>20</w:t>
                  </w:r>
                </w:p>
              </w:tc>
              <w:tc>
                <w:tcPr>
                  <w:tcW w:w="1346" w:type="dxa"/>
                  <w:tcBorders>
                    <w:tl2br w:val="nil"/>
                    <w:tr2bl w:val="nil"/>
                  </w:tcBorders>
                  <w:vAlign w:val="center"/>
                </w:tcPr>
                <w:p>
                  <w:pPr>
                    <w:snapToGrid w:val="0"/>
                    <w:spacing w:line="360" w:lineRule="auto"/>
                    <w:jc w:val="center"/>
                    <w:rPr>
                      <w:szCs w:val="21"/>
                    </w:rPr>
                  </w:pPr>
                  <w:r>
                    <w:rPr>
                      <w:szCs w:val="21"/>
                    </w:rPr>
                    <w:t>180</w:t>
                  </w:r>
                </w:p>
              </w:tc>
              <w:tc>
                <w:tcPr>
                  <w:tcW w:w="1074" w:type="dxa"/>
                  <w:vMerge w:val="continue"/>
                  <w:tcBorders>
                    <w:tl2br w:val="nil"/>
                    <w:tr2bl w:val="nil"/>
                  </w:tcBorders>
                  <w:vAlign w:val="center"/>
                </w:tcPr>
                <w:p>
                  <w:pPr>
                    <w:snapToGrid w:val="0"/>
                    <w:spacing w:line="360" w:lineRule="auto"/>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21" w:type="dxa"/>
                  <w:tcBorders>
                    <w:tl2br w:val="nil"/>
                    <w:tr2bl w:val="nil"/>
                  </w:tcBorders>
                  <w:vAlign w:val="center"/>
                </w:tcPr>
                <w:p>
                  <w:pPr>
                    <w:snapToGrid w:val="0"/>
                    <w:spacing w:line="360" w:lineRule="auto"/>
                    <w:jc w:val="center"/>
                    <w:rPr>
                      <w:szCs w:val="21"/>
                    </w:rPr>
                  </w:pPr>
                  <w:r>
                    <w:rPr>
                      <w:szCs w:val="21"/>
                    </w:rPr>
                    <w:t>4</w:t>
                  </w:r>
                </w:p>
              </w:tc>
              <w:tc>
                <w:tcPr>
                  <w:tcW w:w="1976" w:type="dxa"/>
                  <w:gridSpan w:val="2"/>
                  <w:tcBorders>
                    <w:tl2br w:val="nil"/>
                    <w:tr2bl w:val="nil"/>
                  </w:tcBorders>
                  <w:vAlign w:val="center"/>
                </w:tcPr>
                <w:p>
                  <w:pPr>
                    <w:snapToGrid w:val="0"/>
                    <w:spacing w:line="360" w:lineRule="auto"/>
                    <w:jc w:val="center"/>
                    <w:rPr>
                      <w:szCs w:val="21"/>
                    </w:rPr>
                  </w:pPr>
                  <w:r>
                    <w:rPr>
                      <w:szCs w:val="21"/>
                    </w:rPr>
                    <w:t>绿化</w:t>
                  </w:r>
                </w:p>
              </w:tc>
              <w:tc>
                <w:tcPr>
                  <w:tcW w:w="1488" w:type="dxa"/>
                  <w:tcBorders>
                    <w:tl2br w:val="nil"/>
                    <w:tr2bl w:val="nil"/>
                  </w:tcBorders>
                  <w:vAlign w:val="center"/>
                </w:tcPr>
                <w:p>
                  <w:pPr>
                    <w:snapToGrid w:val="0"/>
                    <w:spacing w:line="360" w:lineRule="auto"/>
                    <w:jc w:val="center"/>
                    <w:rPr>
                      <w:szCs w:val="21"/>
                    </w:rPr>
                  </w:pPr>
                  <w:r>
                    <w:rPr>
                      <w:bCs/>
                      <w:szCs w:val="21"/>
                    </w:rPr>
                    <w:t>17064</w:t>
                  </w:r>
                </w:p>
              </w:tc>
              <w:tc>
                <w:tcPr>
                  <w:tcW w:w="1465" w:type="dxa"/>
                  <w:tcBorders>
                    <w:tl2br w:val="nil"/>
                    <w:tr2bl w:val="nil"/>
                  </w:tcBorders>
                  <w:vAlign w:val="center"/>
                </w:tcPr>
                <w:p>
                  <w:pPr>
                    <w:snapToGrid w:val="0"/>
                    <w:spacing w:line="360" w:lineRule="auto"/>
                    <w:jc w:val="center"/>
                    <w:rPr>
                      <w:szCs w:val="21"/>
                    </w:rPr>
                  </w:pPr>
                  <w:r>
                    <w:rPr>
                      <w:bCs/>
                      <w:szCs w:val="21"/>
                    </w:rPr>
                    <w:t>17064</w:t>
                  </w:r>
                </w:p>
              </w:tc>
              <w:tc>
                <w:tcPr>
                  <w:tcW w:w="1346" w:type="dxa"/>
                  <w:tcBorders>
                    <w:tl2br w:val="nil"/>
                    <w:tr2bl w:val="nil"/>
                  </w:tcBorders>
                  <w:vAlign w:val="center"/>
                </w:tcPr>
                <w:p>
                  <w:pPr>
                    <w:snapToGrid w:val="0"/>
                    <w:spacing w:line="360" w:lineRule="auto"/>
                    <w:jc w:val="center"/>
                    <w:rPr>
                      <w:szCs w:val="21"/>
                    </w:rPr>
                  </w:pPr>
                  <w:r>
                    <w:rPr>
                      <w:szCs w:val="21"/>
                    </w:rPr>
                    <w:t>0</w:t>
                  </w:r>
                </w:p>
              </w:tc>
              <w:tc>
                <w:tcPr>
                  <w:tcW w:w="1074" w:type="dxa"/>
                  <w:tcBorders>
                    <w:tl2br w:val="nil"/>
                    <w:tr2bl w:val="nil"/>
                  </w:tcBorders>
                  <w:vAlign w:val="center"/>
                </w:tcPr>
                <w:p>
                  <w:pPr>
                    <w:snapToGrid w:val="0"/>
                    <w:spacing w:line="360" w:lineRule="auto"/>
                    <w:jc w:val="center"/>
                    <w:rPr>
                      <w:szCs w:val="21"/>
                    </w:rPr>
                  </w:pP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57" w:hRule="atLeast"/>
                <w:jc w:val="center"/>
              </w:trPr>
              <w:tc>
                <w:tcPr>
                  <w:tcW w:w="721" w:type="dxa"/>
                  <w:tcBorders>
                    <w:tl2br w:val="nil"/>
                    <w:tr2bl w:val="nil"/>
                  </w:tcBorders>
                  <w:vAlign w:val="center"/>
                </w:tcPr>
                <w:p>
                  <w:pPr>
                    <w:snapToGrid w:val="0"/>
                    <w:spacing w:line="360" w:lineRule="auto"/>
                    <w:jc w:val="center"/>
                    <w:rPr>
                      <w:szCs w:val="21"/>
                    </w:rPr>
                  </w:pPr>
                  <w:r>
                    <w:rPr>
                      <w:szCs w:val="21"/>
                    </w:rPr>
                    <w:t>5</w:t>
                  </w:r>
                </w:p>
              </w:tc>
              <w:tc>
                <w:tcPr>
                  <w:tcW w:w="1976" w:type="dxa"/>
                  <w:gridSpan w:val="2"/>
                  <w:tcBorders>
                    <w:tl2br w:val="nil"/>
                    <w:tr2bl w:val="nil"/>
                  </w:tcBorders>
                  <w:vAlign w:val="center"/>
                </w:tcPr>
                <w:p>
                  <w:pPr>
                    <w:snapToGrid w:val="0"/>
                    <w:spacing w:line="360" w:lineRule="auto"/>
                    <w:jc w:val="center"/>
                    <w:rPr>
                      <w:szCs w:val="21"/>
                    </w:rPr>
                  </w:pPr>
                  <w:r>
                    <w:rPr>
                      <w:szCs w:val="21"/>
                    </w:rPr>
                    <w:t>合计</w:t>
                  </w:r>
                </w:p>
              </w:tc>
              <w:tc>
                <w:tcPr>
                  <w:tcW w:w="1488"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108854.96</w:t>
                  </w:r>
                </w:p>
              </w:tc>
              <w:tc>
                <w:tcPr>
                  <w:tcW w:w="1465"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41414.52</w:t>
                  </w:r>
                </w:p>
              </w:tc>
              <w:tc>
                <w:tcPr>
                  <w:tcW w:w="1346" w:type="dxa"/>
                  <w:tcBorders>
                    <w:tl2br w:val="nil"/>
                    <w:tr2bl w:val="nil"/>
                  </w:tcBorders>
                  <w:vAlign w:val="center"/>
                </w:tcPr>
                <w:p>
                  <w:pPr>
                    <w:snapToGrid w:val="0"/>
                    <w:spacing w:line="360" w:lineRule="auto"/>
                    <w:jc w:val="center"/>
                    <w:rPr>
                      <w:rFonts w:hint="default" w:eastAsia="宋体"/>
                      <w:szCs w:val="21"/>
                      <w:lang w:val="en-US" w:eastAsia="zh-CN"/>
                    </w:rPr>
                  </w:pPr>
                  <w:r>
                    <w:rPr>
                      <w:rFonts w:hint="eastAsia"/>
                      <w:szCs w:val="21"/>
                      <w:lang w:val="en-US" w:eastAsia="zh-CN"/>
                    </w:rPr>
                    <w:t>67440.44</w:t>
                  </w:r>
                </w:p>
              </w:tc>
              <w:tc>
                <w:tcPr>
                  <w:tcW w:w="1074" w:type="dxa"/>
                  <w:tcBorders>
                    <w:tl2br w:val="nil"/>
                    <w:tr2bl w:val="nil"/>
                  </w:tcBorders>
                  <w:vAlign w:val="center"/>
                </w:tcPr>
                <w:p>
                  <w:pPr>
                    <w:snapToGrid w:val="0"/>
                    <w:spacing w:line="360" w:lineRule="auto"/>
                    <w:jc w:val="center"/>
                    <w:rPr>
                      <w:szCs w:val="21"/>
                    </w:rPr>
                  </w:pPr>
                  <w:r>
                    <w:rPr>
                      <w:szCs w:val="21"/>
                    </w:rPr>
                    <w:t>/</w:t>
                  </w:r>
                </w:p>
              </w:tc>
            </w:tr>
          </w:tbl>
          <w:p>
            <w:pPr>
              <w:keepNext/>
              <w:keepLines/>
              <w:pageBreakBefore w:val="0"/>
              <w:bidi w:val="0"/>
              <w:spacing w:line="360" w:lineRule="auto"/>
              <w:ind w:firstLine="480" w:firstLineChars="200"/>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项目水平衡如下：</w:t>
            </w:r>
          </w:p>
          <w:p>
            <w:pPr>
              <w:pStyle w:val="20"/>
              <w:ind w:left="0" w:leftChars="0" w:firstLine="0" w:firstLineChars="0"/>
              <w:rPr>
                <w:rFonts w:hint="default"/>
                <w:lang w:val="en-US" w:eastAsia="zh-CN"/>
              </w:rPr>
            </w:pPr>
            <w:r>
              <w:rPr>
                <w:rFonts w:hint="default"/>
                <w:lang w:val="en-US" w:eastAsia="zh-CN"/>
              </w:rPr>
              <w:drawing>
                <wp:inline distT="0" distB="0" distL="114300" distR="114300">
                  <wp:extent cx="5315585" cy="3902075"/>
                  <wp:effectExtent l="0" t="0" r="18415" b="3175"/>
                  <wp:docPr id="1" name="图片 1" descr="果洛海东中学水平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果洛海东中学水平衡"/>
                          <pic:cNvPicPr>
                            <a:picLocks noChangeAspect="1"/>
                          </pic:cNvPicPr>
                        </pic:nvPicPr>
                        <pic:blipFill>
                          <a:blip r:embed="rId9"/>
                          <a:stretch>
                            <a:fillRect/>
                          </a:stretch>
                        </pic:blipFill>
                        <pic:spPr>
                          <a:xfrm>
                            <a:off x="0" y="0"/>
                            <a:ext cx="5315585" cy="3902075"/>
                          </a:xfrm>
                          <a:prstGeom prst="rect">
                            <a:avLst/>
                          </a:prstGeom>
                        </pic:spPr>
                      </pic:pic>
                    </a:graphicData>
                  </a:graphic>
                </wp:inline>
              </w:drawing>
            </w:r>
          </w:p>
          <w:p>
            <w:pPr>
              <w:pStyle w:val="39"/>
              <w:keepNext/>
              <w:keepLines/>
              <w:pageBreakBefore w:val="0"/>
              <w:bidi w:val="0"/>
              <w:spacing w:line="240" w:lineRule="auto"/>
              <w:ind w:left="0" w:leftChars="0" w:firstLine="0" w:firstLineChars="0"/>
              <w:jc w:val="center"/>
              <w:rPr>
                <w:rFonts w:hint="default" w:ascii="Times New Roman" w:hAnsi="Times New Roman" w:eastAsia="宋体" w:cs="Times New Roman"/>
                <w:bCs/>
                <w:color w:val="auto"/>
                <w:szCs w:val="21"/>
                <w:lang w:val="en-US" w:eastAsia="zh-CN"/>
              </w:rPr>
            </w:pPr>
            <w:r>
              <w:rPr>
                <w:rFonts w:hint="default" w:ascii="Times New Roman" w:hAnsi="Times New Roman" w:eastAsia="宋体" w:cs="Times New Roman"/>
                <w:b/>
                <w:bCs/>
                <w:color w:val="auto"/>
                <w:sz w:val="21"/>
                <w:szCs w:val="20"/>
                <w:lang w:val="en-US" w:eastAsia="zh-CN"/>
              </w:rPr>
              <w:t>图2-1项目水平衡图  单位：m</w:t>
            </w:r>
            <w:r>
              <w:rPr>
                <w:rFonts w:hint="default" w:ascii="Times New Roman" w:hAnsi="Times New Roman" w:eastAsia="宋体" w:cs="Times New Roman"/>
                <w:b/>
                <w:bCs/>
                <w:color w:val="auto"/>
                <w:sz w:val="21"/>
                <w:szCs w:val="20"/>
                <w:vertAlign w:val="superscript"/>
                <w:lang w:val="en-US" w:eastAsia="zh-CN"/>
              </w:rPr>
              <w:t>3</w:t>
            </w:r>
            <w:r>
              <w:rPr>
                <w:rFonts w:hint="default" w:ascii="Times New Roman" w:hAnsi="Times New Roman" w:eastAsia="宋体" w:cs="Times New Roman"/>
                <w:b/>
                <w:bCs/>
                <w:color w:val="auto"/>
                <w:sz w:val="21"/>
                <w:szCs w:val="20"/>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5" w:type="dxa"/>
            <w:noWrap w:val="0"/>
            <w:vAlign w:val="center"/>
          </w:tcPr>
          <w:p>
            <w:pPr>
              <w:pStyle w:val="17"/>
              <w:keepNext/>
              <w:keepLines/>
              <w:pageBreakBefore w:val="0"/>
              <w:bidi w:val="0"/>
              <w:adjustRightInd w:val="0"/>
              <w:snapToGrid w:val="0"/>
              <w:spacing w:before="0" w:beforeAutospacing="0" w:after="0" w:afterAutospacing="0"/>
              <w:jc w:val="center"/>
              <w:rPr>
                <w:rFonts w:cs="宋体"/>
                <w:color w:val="auto"/>
                <w:sz w:val="21"/>
                <w:szCs w:val="21"/>
              </w:rPr>
            </w:pPr>
            <w:r>
              <w:rPr>
                <w:rFonts w:hint="eastAsia" w:cs="宋体"/>
                <w:color w:val="auto"/>
                <w:sz w:val="21"/>
                <w:szCs w:val="21"/>
              </w:rPr>
              <w:t>工艺流程和产排污环节</w:t>
            </w:r>
          </w:p>
        </w:tc>
        <w:tc>
          <w:tcPr>
            <w:tcW w:w="8599" w:type="dxa"/>
            <w:noWrap w:val="0"/>
            <w:vAlign w:val="top"/>
          </w:tcPr>
          <w:p>
            <w:pPr>
              <w:keepNext/>
              <w:keepLines/>
              <w:pageBreakBefore w:val="0"/>
              <w:bidi w:val="0"/>
              <w:spacing w:line="360" w:lineRule="auto"/>
              <w:jc w:val="left"/>
              <w:rPr>
                <w:rFonts w:hint="default"/>
                <w:color w:val="auto"/>
                <w:sz w:val="24"/>
                <w:szCs w:val="24"/>
              </w:rPr>
            </w:pPr>
            <w:r>
              <w:rPr>
                <w:rFonts w:hint="default"/>
                <w:color w:val="auto"/>
                <w:sz w:val="24"/>
                <w:szCs w:val="24"/>
              </w:rPr>
              <w:t>工艺流程简述（图示）：</w:t>
            </w:r>
          </w:p>
          <w:p>
            <w:pPr>
              <w:keepNext/>
              <w:keepLines/>
              <w:pageBreakBefore w:val="0"/>
              <w:bidi w:val="0"/>
              <w:spacing w:line="360" w:lineRule="auto"/>
              <w:rPr>
                <w:rFonts w:hint="default"/>
                <w:color w:val="auto"/>
                <w:sz w:val="24"/>
                <w:szCs w:val="24"/>
              </w:rPr>
            </w:pPr>
            <w:r>
              <w:rPr>
                <w:rFonts w:hint="default"/>
                <w:color w:val="auto"/>
                <w:sz w:val="24"/>
                <w:szCs w:val="24"/>
              </w:rPr>
              <w:t>一、施工期</w:t>
            </w:r>
          </w:p>
          <w:p>
            <w:pPr>
              <w:keepNext/>
              <w:keepLines/>
              <w:pageBreakBefore w:val="0"/>
              <w:bidi w:val="0"/>
              <w:spacing w:line="360" w:lineRule="auto"/>
              <w:ind w:firstLine="470" w:firstLineChars="196"/>
              <w:rPr>
                <w:rFonts w:hint="default"/>
                <w:color w:val="auto"/>
                <w:sz w:val="24"/>
                <w:szCs w:val="24"/>
              </w:rPr>
            </w:pPr>
            <w:r>
              <w:rPr>
                <w:rFonts w:hint="default"/>
                <w:color w:val="auto"/>
                <w:sz w:val="24"/>
                <w:szCs w:val="24"/>
              </w:rPr>
              <w:t>本项目施工期工艺流程及产污节点图如下：</w:t>
            </w:r>
          </w:p>
          <w:p>
            <w:pPr>
              <w:keepNext/>
              <w:keepLines/>
              <w:pageBreakBefore w:val="0"/>
              <w:bidi w:val="0"/>
              <w:spacing w:line="240" w:lineRule="auto"/>
              <w:jc w:val="center"/>
              <w:rPr>
                <w:rFonts w:hint="default"/>
                <w:b/>
                <w:bCs/>
                <w:color w:val="auto"/>
              </w:rPr>
            </w:pPr>
            <w:r>
              <w:rPr>
                <w:rFonts w:hint="default"/>
                <w:b/>
                <w:bCs/>
                <w:color w:val="auto"/>
              </w:rPr>
              <w:drawing>
                <wp:anchor distT="0" distB="0" distL="114300" distR="114300" simplePos="0" relativeHeight="251659264" behindDoc="0" locked="0" layoutInCell="1" allowOverlap="1">
                  <wp:simplePos x="0" y="0"/>
                  <wp:positionH relativeFrom="page">
                    <wp:posOffset>305435</wp:posOffset>
                  </wp:positionH>
                  <wp:positionV relativeFrom="paragraph">
                    <wp:posOffset>19050</wp:posOffset>
                  </wp:positionV>
                  <wp:extent cx="5104765" cy="1390015"/>
                  <wp:effectExtent l="0" t="0" r="635" b="635"/>
                  <wp:wrapTopAndBottom/>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jpeg"/>
                          <pic:cNvPicPr>
                            <a:picLocks noChangeAspect="1"/>
                          </pic:cNvPicPr>
                        </pic:nvPicPr>
                        <pic:blipFill>
                          <a:blip r:embed="rId10"/>
                          <a:stretch>
                            <a:fillRect/>
                          </a:stretch>
                        </pic:blipFill>
                        <pic:spPr>
                          <a:xfrm>
                            <a:off x="0" y="0"/>
                            <a:ext cx="5104765" cy="1390015"/>
                          </a:xfrm>
                          <a:prstGeom prst="rect">
                            <a:avLst/>
                          </a:prstGeom>
                          <a:noFill/>
                          <a:ln>
                            <a:noFill/>
                          </a:ln>
                        </pic:spPr>
                      </pic:pic>
                    </a:graphicData>
                  </a:graphic>
                </wp:anchor>
              </w:drawing>
            </w:r>
            <w:r>
              <w:rPr>
                <w:rFonts w:hint="default"/>
                <w:b/>
                <w:bCs/>
                <w:color w:val="auto"/>
              </w:rPr>
              <w:t xml:space="preserve">图 </w:t>
            </w:r>
            <w:r>
              <w:rPr>
                <w:rFonts w:hint="eastAsia"/>
                <w:b/>
                <w:bCs/>
                <w:color w:val="auto"/>
                <w:lang w:val="en-US" w:eastAsia="zh-CN"/>
              </w:rPr>
              <w:t>2</w:t>
            </w:r>
            <w:r>
              <w:rPr>
                <w:rFonts w:hint="default"/>
                <w:b/>
                <w:bCs/>
                <w:color w:val="auto"/>
              </w:rPr>
              <w:t>-</w:t>
            </w:r>
            <w:r>
              <w:rPr>
                <w:rFonts w:hint="eastAsia"/>
                <w:b/>
                <w:bCs/>
                <w:color w:val="auto"/>
                <w:lang w:val="en-US" w:eastAsia="zh-CN"/>
              </w:rPr>
              <w:t>2</w:t>
            </w:r>
            <w:r>
              <w:rPr>
                <w:rFonts w:hint="default"/>
                <w:b/>
                <w:bCs/>
                <w:color w:val="auto"/>
              </w:rPr>
              <w:t>施工期流程及产污节点图</w:t>
            </w:r>
          </w:p>
          <w:p>
            <w:pPr>
              <w:keepNext/>
              <w:keepLines/>
              <w:pageBreakBefore w:val="0"/>
              <w:bidi w:val="0"/>
              <w:spacing w:line="360" w:lineRule="auto"/>
              <w:ind w:firstLine="470" w:firstLineChars="196"/>
              <w:rPr>
                <w:rFonts w:hint="default"/>
                <w:color w:val="auto"/>
                <w:sz w:val="24"/>
                <w:szCs w:val="24"/>
              </w:rPr>
            </w:pPr>
            <w:r>
              <w:rPr>
                <w:rFonts w:hint="default"/>
                <w:color w:val="auto"/>
                <w:sz w:val="24"/>
                <w:szCs w:val="24"/>
                <w:lang w:val="en-US" w:eastAsia="zh-CN"/>
              </w:rPr>
              <w:t xml:space="preserve">1、基础工程 </w:t>
            </w:r>
          </w:p>
          <w:p>
            <w:pPr>
              <w:keepNext/>
              <w:keepLines/>
              <w:pageBreakBefore w:val="0"/>
              <w:bidi w:val="0"/>
              <w:spacing w:line="360" w:lineRule="auto"/>
              <w:ind w:firstLine="470" w:firstLineChars="196"/>
              <w:rPr>
                <w:rFonts w:hint="default"/>
                <w:color w:val="auto"/>
                <w:sz w:val="24"/>
                <w:szCs w:val="24"/>
                <w:lang w:val="en-US" w:eastAsia="zh-CN"/>
              </w:rPr>
            </w:pPr>
            <w:r>
              <w:rPr>
                <w:rFonts w:hint="default"/>
                <w:color w:val="auto"/>
                <w:sz w:val="24"/>
                <w:szCs w:val="24"/>
                <w:lang w:val="en-US" w:eastAsia="zh-CN"/>
              </w:rPr>
              <w:t xml:space="preserve">在基础施工时，由于挖土机、运土卡车、打桩机、夯实机等施工机械的运行将产生一定的噪声；同时，挖填土石方作业及运输车辆行驶将产生扬尘，不同条件下的扬尘对环境的影响不同；另外，施工人员会产生生活污水。 </w:t>
            </w:r>
          </w:p>
          <w:p>
            <w:pPr>
              <w:keepNext/>
              <w:keepLines/>
              <w:pageBreakBefore w:val="0"/>
              <w:bidi w:val="0"/>
              <w:spacing w:line="360" w:lineRule="auto"/>
              <w:ind w:firstLine="470" w:firstLineChars="196"/>
              <w:rPr>
                <w:rFonts w:hint="default"/>
                <w:color w:val="auto"/>
                <w:sz w:val="24"/>
                <w:szCs w:val="24"/>
                <w:lang w:val="en-US" w:eastAsia="zh-CN"/>
              </w:rPr>
            </w:pPr>
            <w:r>
              <w:rPr>
                <w:rFonts w:hint="default"/>
                <w:color w:val="auto"/>
                <w:sz w:val="24"/>
                <w:szCs w:val="24"/>
                <w:lang w:val="en-US" w:eastAsia="zh-CN"/>
              </w:rPr>
              <w:t xml:space="preserve">2、主体工程 </w:t>
            </w:r>
          </w:p>
          <w:p>
            <w:pPr>
              <w:keepNext/>
              <w:keepLines/>
              <w:pageBreakBefore w:val="0"/>
              <w:bidi w:val="0"/>
              <w:spacing w:line="360" w:lineRule="auto"/>
              <w:ind w:firstLine="470" w:firstLineChars="196"/>
              <w:rPr>
                <w:rFonts w:hint="default"/>
                <w:color w:val="auto"/>
                <w:sz w:val="24"/>
                <w:szCs w:val="24"/>
                <w:lang w:val="en-US" w:eastAsia="zh-CN"/>
              </w:rPr>
            </w:pPr>
            <w:r>
              <w:rPr>
                <w:rFonts w:hint="default"/>
                <w:color w:val="auto"/>
                <w:sz w:val="24"/>
                <w:szCs w:val="24"/>
                <w:lang w:val="en-US" w:eastAsia="zh-CN"/>
              </w:rPr>
              <w:t xml:space="preserve">混凝土搅拌机、挖掘机、打夯机、装载汽车等运行时会产生噪声，同时也产生扬尘。此外，还有一些原材料废弃料以及生产和生活污水产生。 </w:t>
            </w:r>
          </w:p>
          <w:p>
            <w:pPr>
              <w:keepNext/>
              <w:keepLines/>
              <w:pageBreakBefore w:val="0"/>
              <w:bidi w:val="0"/>
              <w:spacing w:line="360" w:lineRule="auto"/>
              <w:ind w:firstLine="470" w:firstLineChars="196"/>
              <w:rPr>
                <w:rFonts w:hint="default"/>
                <w:color w:val="auto"/>
                <w:sz w:val="24"/>
                <w:szCs w:val="24"/>
                <w:lang w:val="en-US" w:eastAsia="zh-CN"/>
              </w:rPr>
            </w:pPr>
            <w:r>
              <w:rPr>
                <w:rFonts w:hint="default"/>
                <w:color w:val="auto"/>
                <w:sz w:val="24"/>
                <w:szCs w:val="24"/>
                <w:lang w:val="en-US" w:eastAsia="zh-CN"/>
              </w:rPr>
              <w:t xml:space="preserve">3、装饰工程及设备安装 </w:t>
            </w:r>
          </w:p>
          <w:p>
            <w:pPr>
              <w:keepNext/>
              <w:keepLines/>
              <w:pageBreakBefore w:val="0"/>
              <w:bidi w:val="0"/>
              <w:spacing w:line="360" w:lineRule="auto"/>
              <w:ind w:firstLine="470" w:firstLineChars="196"/>
              <w:rPr>
                <w:rFonts w:hint="default"/>
                <w:color w:val="auto"/>
                <w:sz w:val="24"/>
                <w:szCs w:val="24"/>
                <w:lang w:val="en-US" w:eastAsia="zh-CN"/>
              </w:rPr>
            </w:pPr>
            <w:r>
              <w:rPr>
                <w:rFonts w:hint="default"/>
                <w:color w:val="auto"/>
                <w:sz w:val="24"/>
                <w:szCs w:val="24"/>
                <w:lang w:val="en-US" w:eastAsia="zh-CN"/>
              </w:rPr>
              <w:t xml:space="preserve">在对构筑物的室内外进行装修时，钻机电锤等产生噪声，设备安装等一些工艺环节还会产生废气、废弃物及污水。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主要污染工</w:t>
            </w:r>
            <w:r>
              <w:rPr>
                <w:rFonts w:hint="eastAsia"/>
                <w:color w:val="auto"/>
                <w:sz w:val="24"/>
                <w:szCs w:val="24"/>
                <w:lang w:val="en-US" w:eastAsia="zh-CN"/>
              </w:rPr>
              <w:t>序</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本工程施工期主要包括场地开挖、场地平整和场</w:t>
            </w:r>
            <w:r>
              <w:rPr>
                <w:rFonts w:hint="eastAsia"/>
                <w:color w:val="auto"/>
                <w:sz w:val="24"/>
                <w:szCs w:val="24"/>
                <w:lang w:val="en-US" w:eastAsia="zh-CN"/>
              </w:rPr>
              <w:t>地</w:t>
            </w:r>
            <w:r>
              <w:rPr>
                <w:rFonts w:hint="default"/>
                <w:color w:val="auto"/>
                <w:sz w:val="24"/>
                <w:szCs w:val="24"/>
                <w:lang w:val="en-US" w:eastAsia="zh-CN"/>
              </w:rPr>
              <w:t>建设等。施工期产生污染物主要有：</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1、废气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（1）各类燃油动力机械在场地开挖、场地平整、物料运输等施工作业时，会排出各类燃油废气，排放的主要污染物为CO、NO</w:t>
            </w:r>
            <w:r>
              <w:rPr>
                <w:rFonts w:hint="eastAsia"/>
                <w:color w:val="auto"/>
                <w:sz w:val="24"/>
                <w:szCs w:val="24"/>
                <w:lang w:val="en-US" w:eastAsia="zh-CN"/>
              </w:rPr>
              <w:t>x</w:t>
            </w:r>
            <w:r>
              <w:rPr>
                <w:rFonts w:hint="default"/>
                <w:color w:val="auto"/>
                <w:sz w:val="24"/>
                <w:szCs w:val="24"/>
                <w:lang w:val="en-US" w:eastAsia="zh-CN"/>
              </w:rPr>
              <w:t>和</w:t>
            </w:r>
            <w:r>
              <w:rPr>
                <w:rFonts w:hint="eastAsia"/>
                <w:color w:val="auto"/>
                <w:sz w:val="24"/>
                <w:szCs w:val="24"/>
                <w:lang w:val="en-US" w:eastAsia="zh-CN"/>
              </w:rPr>
              <w:t>THC</w:t>
            </w:r>
            <w:r>
              <w:rPr>
                <w:rFonts w:hint="default"/>
                <w:color w:val="auto"/>
                <w:sz w:val="24"/>
                <w:szCs w:val="24"/>
                <w:lang w:val="en-US" w:eastAsia="zh-CN"/>
              </w:rPr>
              <w:t xml:space="preserve">。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（2）土石方装卸作业及运输时产生的扬尘，排放的主要污染为TSP。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（3）</w:t>
            </w:r>
            <w:r>
              <w:rPr>
                <w:rFonts w:hint="eastAsia"/>
                <w:color w:val="auto"/>
                <w:sz w:val="24"/>
                <w:szCs w:val="24"/>
                <w:lang w:val="en-US" w:eastAsia="zh-CN"/>
              </w:rPr>
              <w:t>教学及辅助用房等装修时，使用</w:t>
            </w:r>
            <w:r>
              <w:rPr>
                <w:rFonts w:hint="default"/>
                <w:color w:val="auto"/>
                <w:sz w:val="24"/>
                <w:szCs w:val="24"/>
                <w:lang w:val="en-US" w:eastAsia="zh-CN"/>
              </w:rPr>
              <w:t>油漆、涂料施工</w:t>
            </w:r>
            <w:r>
              <w:rPr>
                <w:rFonts w:hint="eastAsia"/>
                <w:color w:val="auto"/>
                <w:sz w:val="24"/>
                <w:szCs w:val="24"/>
                <w:lang w:val="en-US" w:eastAsia="zh-CN"/>
              </w:rPr>
              <w:t>过程中</w:t>
            </w:r>
            <w:r>
              <w:rPr>
                <w:rFonts w:hint="default"/>
                <w:color w:val="auto"/>
                <w:sz w:val="24"/>
                <w:szCs w:val="24"/>
                <w:lang w:val="en-US" w:eastAsia="zh-CN"/>
              </w:rPr>
              <w:t xml:space="preserve">产生的有机废气。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2、废水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（1）施工人员产生的生活污水，主要污染物为COD、SS、氨氮、总磷。</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（2）运输车辆冲洗水，主要污染物为SS、石油类。</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3、噪声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挖掘机、装载机、推土机、打桩机、运输车辆等施工机械作业时产生的噪声。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 xml:space="preserve">4、固废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default"/>
                <w:color w:val="auto"/>
                <w:sz w:val="24"/>
                <w:szCs w:val="24"/>
                <w:lang w:val="en-US" w:eastAsia="zh-CN"/>
              </w:rPr>
              <w:t>主要是建筑</w:t>
            </w:r>
            <w:r>
              <w:rPr>
                <w:rFonts w:hint="eastAsia"/>
                <w:color w:val="auto"/>
                <w:sz w:val="24"/>
                <w:szCs w:val="24"/>
                <w:lang w:val="en-US" w:eastAsia="zh-CN"/>
              </w:rPr>
              <w:t>施工、装修产生的垃圾</w:t>
            </w:r>
            <w:r>
              <w:rPr>
                <w:rFonts w:hint="default"/>
                <w:color w:val="auto"/>
                <w:sz w:val="24"/>
                <w:szCs w:val="24"/>
                <w:lang w:val="en-US" w:eastAsia="zh-CN"/>
              </w:rPr>
              <w:t>以及施工人员产生的生活垃圾。</w:t>
            </w:r>
          </w:p>
          <w:p>
            <w:pPr>
              <w:keepNext/>
              <w:keepLines/>
              <w:pageBreakBefore w:val="0"/>
              <w:bidi w:val="0"/>
              <w:spacing w:line="360" w:lineRule="auto"/>
              <w:ind w:firstLine="480" w:firstLineChars="200"/>
              <w:rPr>
                <w:rFonts w:hint="default"/>
                <w:color w:val="auto"/>
                <w:sz w:val="24"/>
                <w:szCs w:val="24"/>
              </w:rPr>
            </w:pPr>
            <w:r>
              <w:rPr>
                <w:rFonts w:hint="default"/>
                <w:color w:val="auto"/>
                <w:sz w:val="24"/>
                <w:szCs w:val="24"/>
              </w:rPr>
              <w:t>二、运营期</w:t>
            </w:r>
          </w:p>
          <w:p>
            <w:pPr>
              <w:keepNext/>
              <w:keepLines/>
              <w:pageBreakBefore w:val="0"/>
              <w:bidi w:val="0"/>
              <w:spacing w:line="360" w:lineRule="auto"/>
              <w:ind w:firstLine="470" w:firstLineChars="196"/>
              <w:rPr>
                <w:rFonts w:hint="default"/>
                <w:color w:val="auto"/>
              </w:rPr>
            </w:pPr>
            <w:r>
              <w:rPr>
                <w:rFonts w:hint="eastAsia"/>
                <w:color w:val="auto"/>
                <w:sz w:val="24"/>
                <w:szCs w:val="24"/>
                <w:lang w:val="en-US" w:eastAsia="zh-CN"/>
              </w:rPr>
              <w:t>1、</w:t>
            </w:r>
            <w:r>
              <w:rPr>
                <w:rFonts w:hint="default"/>
                <w:color w:val="auto"/>
                <w:sz w:val="24"/>
                <w:szCs w:val="24"/>
              </w:rPr>
              <w:t>本项目运营期</w:t>
            </w:r>
            <w:r>
              <w:rPr>
                <w:rFonts w:hint="eastAsia"/>
                <w:color w:val="auto"/>
                <w:sz w:val="24"/>
                <w:szCs w:val="24"/>
                <w:lang w:eastAsia="zh-CN"/>
              </w:rPr>
              <w:t>工作</w:t>
            </w:r>
            <w:r>
              <w:rPr>
                <w:rFonts w:hint="default"/>
                <w:color w:val="auto"/>
                <w:sz w:val="24"/>
                <w:szCs w:val="24"/>
              </w:rPr>
              <w:t>流程及产污节点图如下：</w:t>
            </w:r>
          </w:p>
          <w:p>
            <w:pPr>
              <w:keepNext/>
              <w:keepLines/>
              <w:pageBreakBefore w:val="0"/>
              <w:bidi w:val="0"/>
              <w:spacing w:line="360" w:lineRule="auto"/>
              <w:jc w:val="both"/>
              <w:rPr>
                <w:rFonts w:hint="eastAsia"/>
                <w:color w:val="auto"/>
                <w:lang w:eastAsia="zh-CN"/>
              </w:rPr>
            </w:pPr>
            <w:r>
              <w:rPr>
                <w:rFonts w:hint="eastAsia"/>
                <w:color w:val="auto"/>
                <w:lang w:eastAsia="zh-CN"/>
              </w:rPr>
              <w:drawing>
                <wp:inline distT="0" distB="0" distL="114300" distR="114300">
                  <wp:extent cx="5321300" cy="4392930"/>
                  <wp:effectExtent l="0" t="0" r="12700" b="7620"/>
                  <wp:docPr id="8" name="图片 8" descr="果洛海东中学工艺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果洛海东中学工艺流程"/>
                          <pic:cNvPicPr>
                            <a:picLocks noChangeAspect="1"/>
                          </pic:cNvPicPr>
                        </pic:nvPicPr>
                        <pic:blipFill>
                          <a:blip r:embed="rId11"/>
                          <a:stretch>
                            <a:fillRect/>
                          </a:stretch>
                        </pic:blipFill>
                        <pic:spPr>
                          <a:xfrm>
                            <a:off x="0" y="0"/>
                            <a:ext cx="5321300" cy="4392930"/>
                          </a:xfrm>
                          <a:prstGeom prst="rect">
                            <a:avLst/>
                          </a:prstGeom>
                        </pic:spPr>
                      </pic:pic>
                    </a:graphicData>
                  </a:graphic>
                </wp:inline>
              </w:drawing>
            </w:r>
          </w:p>
          <w:p>
            <w:pPr>
              <w:keepNext/>
              <w:keepLines/>
              <w:pageBreakBefore w:val="0"/>
              <w:bidi w:val="0"/>
              <w:spacing w:line="360" w:lineRule="auto"/>
              <w:ind w:firstLine="2730" w:firstLineChars="1300"/>
              <w:rPr>
                <w:rFonts w:hint="default"/>
                <w:color w:val="auto"/>
              </w:rPr>
            </w:pPr>
            <w:r>
              <w:rPr>
                <w:rFonts w:hint="default"/>
                <w:color w:val="auto"/>
              </w:rPr>
              <w:t xml:space="preserve">图 </w:t>
            </w:r>
            <w:r>
              <w:rPr>
                <w:rFonts w:hint="eastAsia"/>
                <w:color w:val="auto"/>
                <w:lang w:val="en-US" w:eastAsia="zh-CN"/>
              </w:rPr>
              <w:t>2</w:t>
            </w:r>
            <w:r>
              <w:rPr>
                <w:rFonts w:hint="default"/>
                <w:color w:val="auto"/>
              </w:rPr>
              <w:t>-</w:t>
            </w:r>
            <w:r>
              <w:rPr>
                <w:rFonts w:hint="eastAsia"/>
                <w:color w:val="auto"/>
                <w:lang w:val="en-US" w:eastAsia="zh-CN"/>
              </w:rPr>
              <w:t xml:space="preserve">3 </w:t>
            </w:r>
            <w:r>
              <w:rPr>
                <w:rFonts w:hint="default"/>
                <w:color w:val="auto"/>
              </w:rPr>
              <w:t>运营期工艺流程及产污节点图</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FF0000"/>
                <w:sz w:val="24"/>
                <w:szCs w:val="24"/>
                <w:lang w:val="en-US" w:eastAsia="zh-CN"/>
              </w:rPr>
            </w:pPr>
            <w:r>
              <w:rPr>
                <w:rFonts w:hint="eastAsia"/>
                <w:color w:val="FF0000"/>
                <w:sz w:val="24"/>
                <w:szCs w:val="24"/>
                <w:lang w:val="en-US" w:eastAsia="zh-CN"/>
              </w:rPr>
              <w:t>2、实验开展情况</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FF0000"/>
                <w:sz w:val="24"/>
                <w:szCs w:val="24"/>
                <w:lang w:val="en-US" w:eastAsia="zh-CN"/>
              </w:rPr>
            </w:pPr>
            <w:r>
              <w:rPr>
                <w:rFonts w:hint="eastAsia"/>
                <w:color w:val="FF0000"/>
                <w:sz w:val="24"/>
                <w:szCs w:val="24"/>
                <w:lang w:val="en-US" w:eastAsia="zh-CN"/>
              </w:rPr>
              <w:t>1）化学实验</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FF0000"/>
                <w:sz w:val="24"/>
                <w:szCs w:val="24"/>
                <w:lang w:val="en-US" w:eastAsia="zh-CN"/>
              </w:rPr>
            </w:pPr>
            <w:r>
              <w:rPr>
                <w:rFonts w:hint="eastAsia"/>
                <w:color w:val="FF0000"/>
                <w:sz w:val="24"/>
                <w:szCs w:val="24"/>
                <w:lang w:val="en-US" w:eastAsia="zh-CN"/>
              </w:rPr>
              <w:t>本项目化学实验涉及无机、有机等课程，包括常用化学仪器如烧杯、酒精灯的使用，酸、碱及少量盐类化学性质实验等，以及硅酸的制备、氨气的实验室制法、乙酸乙酯的制备等化学试剂制备实验；在实验过程中会用到少量乙酸、NaOH溶液、Ca(OH)2溶液、浓氨水、乙醇、氧气及极少量盐类试剂等化学药品。本项目涉及危险化学品使用的化学实验均由老师进行演示实验，学生不涉及使用危险化学品实验的操作。</w:t>
            </w:r>
          </w:p>
          <w:p>
            <w:pPr>
              <w:keepNext/>
              <w:keepLines/>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olor w:val="FF0000"/>
                <w:sz w:val="24"/>
                <w:szCs w:val="24"/>
                <w:lang w:val="en-US" w:eastAsia="zh-CN"/>
              </w:rPr>
            </w:pPr>
            <w:r>
              <w:rPr>
                <w:rFonts w:hint="eastAsia"/>
                <w:color w:val="FF0000"/>
                <w:sz w:val="24"/>
                <w:szCs w:val="24"/>
                <w:lang w:val="en-US" w:eastAsia="zh-CN"/>
              </w:rPr>
              <w:t>本项目办学规模为规划在校生 3000 人共 60 个班，其中初中部 24 个班（初三8个班），共计 1200 名学生；高中部 36 个班，共计 1800 名学生。初三每年约 10 节化学实验课，每次安排1个班进行实验，每周进行3次实验课。高中每年 20 节化学实验课，每个节课 40 分钟，每次实验课安排两个班级同时进行，每周进行12次实验课。</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2）物理实验</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本项目物理实验不涉及化学试剂的使用，主要为游标卡尺、螺旋测微仪、打点计时器等设备的使用，机械运动、动量守恒定律的验证等实验以及普通电路组装实验，电压、电流、电阻等特性测定实验等，不涉及任何具有辐射性质的设备，主要产生少量废纸等固废。</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3）生物实验</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本项目生物实验主要为练习使用显微镜、观察植物细胞、观察动物细胞、染色、还原糖、蛋白质、淀粉的鉴定等实验，会涉及少量的硫酸铜、碘液以及酒精等试剂的使用，不涉及基因工程、病毒等生物技术及可能对生物安全有影响的检测及实验内容，实验过程中不涉及化肥、农药和其他药剂、生物制剂的使用等，产生少量固废。</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3、学校化学试验室常规试验内容如下：</w:t>
            </w:r>
          </w:p>
          <w:p>
            <w:pPr>
              <w:pStyle w:val="27"/>
              <w:bidi w:val="0"/>
              <w:rPr>
                <w:rFonts w:hint="default"/>
                <w:color w:val="auto"/>
                <w:lang w:val="en-US" w:eastAsia="zh-CN"/>
              </w:rPr>
            </w:pPr>
            <w:r>
              <w:rPr>
                <w:rFonts w:hint="eastAsia"/>
                <w:color w:val="auto"/>
                <w:lang w:val="en-US" w:eastAsia="zh-CN"/>
              </w:rPr>
              <w:t>表2-6 主要实验内容一览表</w:t>
            </w:r>
          </w:p>
          <w:tbl>
            <w:tblPr>
              <w:tblStyle w:val="22"/>
              <w:tblW w:w="8390"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5"/>
              <w:gridCol w:w="53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序号</w:t>
                  </w:r>
                </w:p>
              </w:tc>
              <w:tc>
                <w:tcPr>
                  <w:tcW w:w="2085"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实验类别</w:t>
                  </w:r>
                </w:p>
              </w:tc>
              <w:tc>
                <w:tcPr>
                  <w:tcW w:w="5346"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实验内容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1</w:t>
                  </w:r>
                </w:p>
              </w:tc>
              <w:tc>
                <w:tcPr>
                  <w:tcW w:w="2085"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化学实验</w:t>
                  </w:r>
                </w:p>
              </w:tc>
              <w:tc>
                <w:tcPr>
                  <w:tcW w:w="5346" w:type="dxa"/>
                  <w:tcBorders>
                    <w:tl2br w:val="nil"/>
                    <w:tr2bl w:val="nil"/>
                  </w:tcBorders>
                  <w:vAlign w:val="center"/>
                </w:tcPr>
                <w:p>
                  <w:pPr>
                    <w:pStyle w:val="28"/>
                    <w:bidi w:val="0"/>
                    <w:ind w:left="0" w:leftChars="0" w:right="0" w:rightChars="0" w:firstLine="0" w:firstLineChars="0"/>
                    <w:jc w:val="left"/>
                    <w:rPr>
                      <w:rFonts w:hint="eastAsia"/>
                      <w:color w:val="auto"/>
                      <w:lang w:val="en-US" w:eastAsia="zh-CN" w:bidi="ar-SA"/>
                    </w:rPr>
                  </w:pPr>
                  <w:r>
                    <w:rPr>
                      <w:rFonts w:hint="eastAsia"/>
                      <w:color w:val="auto"/>
                      <w:lang w:val="en-US" w:eastAsia="zh-CN" w:bidi="ar-SA"/>
                    </w:rPr>
                    <w:t>配制一定物质的量浓度的溶液；混合物的分离和提纯；钠和水反应的探究；焰色反应；铁与水蒸气的反应；Fe(OH)</w:t>
                  </w:r>
                  <w:r>
                    <w:rPr>
                      <w:rFonts w:hint="eastAsia"/>
                      <w:color w:val="auto"/>
                      <w:vertAlign w:val="subscript"/>
                      <w:lang w:val="en-US" w:eastAsia="zh-CN" w:bidi="ar-SA"/>
                    </w:rPr>
                    <w:t>2</w:t>
                  </w:r>
                  <w:r>
                    <w:rPr>
                      <w:rFonts w:hint="eastAsia"/>
                      <w:color w:val="auto"/>
                      <w:lang w:val="en-US" w:eastAsia="zh-CN" w:bidi="ar-SA"/>
                    </w:rPr>
                    <w:t>的制备；二氧化硫的漂白性；酸碱中和滴定实验；乙酸乙酯的制备等。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2</w:t>
                  </w:r>
                </w:p>
              </w:tc>
              <w:tc>
                <w:tcPr>
                  <w:tcW w:w="2085"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物理实验</w:t>
                  </w:r>
                </w:p>
              </w:tc>
              <w:tc>
                <w:tcPr>
                  <w:tcW w:w="5346" w:type="dxa"/>
                  <w:tcBorders>
                    <w:tl2br w:val="nil"/>
                    <w:tr2bl w:val="nil"/>
                  </w:tcBorders>
                  <w:vAlign w:val="center"/>
                </w:tcPr>
                <w:p>
                  <w:pPr>
                    <w:pStyle w:val="28"/>
                    <w:bidi w:val="0"/>
                    <w:ind w:left="0" w:leftChars="0" w:right="0" w:rightChars="0" w:firstLine="0" w:firstLineChars="0"/>
                    <w:jc w:val="left"/>
                    <w:rPr>
                      <w:rFonts w:hint="default"/>
                      <w:color w:val="auto"/>
                      <w:lang w:val="en-US" w:eastAsia="zh-CN" w:bidi="ar-SA"/>
                    </w:rPr>
                  </w:pPr>
                  <w:r>
                    <w:rPr>
                      <w:color w:val="auto"/>
                      <w:lang w:val="en-US" w:eastAsia="zh-CN" w:bidi="ar-SA"/>
                    </w:rPr>
                    <w:t>研究匀变速直线运动</w:t>
                  </w:r>
                  <w:r>
                    <w:rPr>
                      <w:rFonts w:hint="eastAsia"/>
                      <w:color w:val="auto"/>
                      <w:lang w:val="en-US" w:eastAsia="zh-CN" w:bidi="ar-SA"/>
                    </w:rPr>
                    <w:t>、</w:t>
                  </w:r>
                  <w:r>
                    <w:rPr>
                      <w:color w:val="auto"/>
                      <w:lang w:val="en-US" w:eastAsia="zh-CN" w:bidi="ar-SA"/>
                    </w:rPr>
                    <w:t>验证力的平行四边形定则</w:t>
                  </w:r>
                  <w:r>
                    <w:rPr>
                      <w:rFonts w:hint="eastAsia"/>
                      <w:color w:val="auto"/>
                      <w:lang w:val="en-US" w:eastAsia="zh-CN" w:bidi="ar-SA"/>
                    </w:rPr>
                    <w:t>、双缝干涉实验、自由落体运动演示、探究弹簧伸长量与弹力关系演示、曲线运动演示、凸凹桥实验、电阻率测试实验、多普勒效应演示、机械能守恒实验、电磁感应实验、向心力实验、液体凝固实验、二力平衡实验、温差发电实验、玻璃导电实验、红外热辐射实验等物理教学实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3</w:t>
                  </w:r>
                </w:p>
              </w:tc>
              <w:tc>
                <w:tcPr>
                  <w:tcW w:w="2085" w:type="dxa"/>
                  <w:tcBorders>
                    <w:tl2br w:val="nil"/>
                    <w:tr2bl w:val="nil"/>
                  </w:tcBorders>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生物实验</w:t>
                  </w:r>
                </w:p>
              </w:tc>
              <w:tc>
                <w:tcPr>
                  <w:tcW w:w="5346" w:type="dxa"/>
                  <w:tcBorders>
                    <w:tl2br w:val="nil"/>
                    <w:tr2bl w:val="nil"/>
                  </w:tcBorders>
                  <w:vAlign w:val="center"/>
                </w:tcPr>
                <w:p>
                  <w:pPr>
                    <w:pStyle w:val="28"/>
                    <w:bidi w:val="0"/>
                    <w:ind w:left="0" w:leftChars="0" w:right="0" w:rightChars="0" w:firstLine="0" w:firstLineChars="0"/>
                    <w:jc w:val="left"/>
                    <w:rPr>
                      <w:rFonts w:hint="eastAsia"/>
                      <w:color w:val="auto"/>
                      <w:lang w:val="en-US" w:eastAsia="zh-CN" w:bidi="ar-SA"/>
                    </w:rPr>
                  </w:pPr>
                  <w:r>
                    <w:rPr>
                      <w:rFonts w:hint="eastAsia"/>
                      <w:color w:val="auto"/>
                      <w:lang w:val="en-US" w:eastAsia="zh-CN" w:bidi="ar-SA"/>
                    </w:rPr>
                    <w:t>使用高倍显微镜观察几种细胞；检测生物组织中的糖类、脂肪和蛋白质序；观察DNA和RNA在细胞中的分布；体验制备细胞膜的方法；用高倍显微镜观察叶绿体和线粒体；植物细胞的吸水和失水；细胞大小与物质运输的关系等其他实验；</w:t>
                  </w:r>
                </w:p>
              </w:tc>
            </w:tr>
          </w:tbl>
          <w:p>
            <w:pPr>
              <w:pStyle w:val="60"/>
              <w:bidi w:val="0"/>
              <w:ind w:left="0" w:leftChars="0" w:firstLine="480" w:firstLineChars="200"/>
              <w:rPr>
                <w:rFonts w:hint="default"/>
                <w:color w:val="auto"/>
                <w:lang w:val="en-US" w:eastAsia="zh-CN"/>
              </w:rPr>
            </w:pPr>
            <w:r>
              <w:rPr>
                <w:rFonts w:hint="eastAsia"/>
                <w:color w:val="auto"/>
                <w:lang w:val="en-US" w:eastAsia="zh-CN"/>
              </w:rPr>
              <w:t>4、主要产污环节</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color w:val="auto"/>
                <w:sz w:val="24"/>
                <w:szCs w:val="24"/>
                <w:lang w:val="en-US" w:eastAsia="zh-CN"/>
              </w:rPr>
              <w:t>运营期对环境产生的影响主要有</w:t>
            </w:r>
            <w:r>
              <w:rPr>
                <w:rFonts w:hint="eastAsia"/>
                <w:color w:val="auto"/>
                <w:sz w:val="24"/>
                <w:szCs w:val="24"/>
                <w:lang w:val="en-US" w:eastAsia="zh-CN"/>
              </w:rPr>
              <w:t>：</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eastAsia"/>
                <w:color w:val="auto"/>
                <w:sz w:val="24"/>
                <w:szCs w:val="24"/>
                <w:lang w:val="en-US" w:eastAsia="zh-CN"/>
              </w:rPr>
              <w:t>（1）</w:t>
            </w:r>
            <w:r>
              <w:rPr>
                <w:rFonts w:hint="default"/>
                <w:color w:val="auto"/>
                <w:sz w:val="24"/>
                <w:szCs w:val="24"/>
                <w:lang w:val="en-US" w:eastAsia="zh-CN"/>
              </w:rPr>
              <w:t xml:space="preserve">废气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rPr>
            </w:pPr>
            <w:r>
              <w:rPr>
                <w:rFonts w:hint="eastAsia"/>
                <w:color w:val="auto"/>
                <w:sz w:val="24"/>
                <w:szCs w:val="24"/>
                <w:lang w:val="en-US" w:eastAsia="zh-CN"/>
              </w:rPr>
              <w:t>①</w:t>
            </w:r>
            <w:r>
              <w:rPr>
                <w:rFonts w:hint="default"/>
                <w:color w:val="auto"/>
                <w:sz w:val="24"/>
                <w:szCs w:val="24"/>
                <w:lang w:val="en-US" w:eastAsia="zh-CN"/>
              </w:rPr>
              <w:t xml:space="preserve">实验室废气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color w:val="auto"/>
                <w:sz w:val="24"/>
                <w:szCs w:val="24"/>
                <w:lang w:val="en-US" w:eastAsia="zh-CN"/>
              </w:rPr>
              <w:t>学校设有化学实验室、物理实验室及生物实验室。根据本项目实验室布置和各实验室功能，实验室废气主要来自于化学实验室。化学实验室使用的化学药品主要以常规的</w:t>
            </w:r>
            <w:r>
              <w:rPr>
                <w:rFonts w:hint="eastAsia"/>
                <w:color w:val="auto"/>
                <w:sz w:val="24"/>
                <w:szCs w:val="24"/>
                <w:lang w:val="en-US" w:eastAsia="zh-CN"/>
              </w:rPr>
              <w:t>乙</w:t>
            </w:r>
            <w:r>
              <w:rPr>
                <w:rFonts w:hint="default"/>
                <w:color w:val="auto"/>
                <w:sz w:val="24"/>
                <w:szCs w:val="24"/>
                <w:lang w:val="en-US" w:eastAsia="zh-CN"/>
              </w:rPr>
              <w:t>酸、碱、盐为主，实验过程中有少量的酸性气体产生。学校化学试剂用量较小，</w:t>
            </w:r>
            <w:r>
              <w:rPr>
                <w:rFonts w:hint="eastAsia"/>
                <w:color w:val="auto"/>
                <w:sz w:val="24"/>
                <w:szCs w:val="24"/>
                <w:lang w:val="en-US" w:eastAsia="zh-CN"/>
              </w:rPr>
              <w:t>其特点是无固定产生时间和不持久性，</w:t>
            </w:r>
            <w:r>
              <w:rPr>
                <w:rFonts w:hint="default"/>
                <w:color w:val="auto"/>
                <w:sz w:val="24"/>
                <w:szCs w:val="24"/>
                <w:lang w:val="en-US" w:eastAsia="zh-CN"/>
              </w:rPr>
              <w:t>且大部分为稀释溶液，挥发</w:t>
            </w:r>
            <w:r>
              <w:rPr>
                <w:rFonts w:hint="eastAsia"/>
                <w:color w:val="auto"/>
                <w:sz w:val="24"/>
                <w:szCs w:val="24"/>
                <w:lang w:val="en-US" w:eastAsia="zh-CN"/>
              </w:rPr>
              <w:t>性</w:t>
            </w:r>
            <w:r>
              <w:rPr>
                <w:rFonts w:hint="default"/>
                <w:color w:val="auto"/>
                <w:sz w:val="24"/>
                <w:szCs w:val="24"/>
                <w:lang w:val="en-US" w:eastAsia="zh-CN"/>
              </w:rPr>
              <w:t>较小。实验室设计有通风</w:t>
            </w:r>
            <w:r>
              <w:rPr>
                <w:rFonts w:hint="eastAsia"/>
                <w:color w:val="auto"/>
                <w:sz w:val="24"/>
                <w:szCs w:val="24"/>
                <w:lang w:val="en-US" w:eastAsia="zh-CN"/>
              </w:rPr>
              <w:t>设施</w:t>
            </w:r>
            <w:r>
              <w:rPr>
                <w:rFonts w:hint="default"/>
                <w:color w:val="auto"/>
                <w:sz w:val="24"/>
                <w:szCs w:val="24"/>
                <w:lang w:val="en-US" w:eastAsia="zh-CN"/>
              </w:rPr>
              <w:t>，实验产生少量废气经试验台通风管收集后引至实验楼楼顶</w:t>
            </w:r>
            <w:r>
              <w:rPr>
                <w:rFonts w:hint="eastAsia"/>
                <w:color w:val="auto"/>
                <w:sz w:val="24"/>
                <w:szCs w:val="24"/>
                <w:lang w:val="en-US" w:eastAsia="zh-CN"/>
              </w:rPr>
              <w:t>后高空</w:t>
            </w:r>
            <w:r>
              <w:rPr>
                <w:rFonts w:hint="default"/>
                <w:color w:val="auto"/>
                <w:sz w:val="24"/>
                <w:szCs w:val="24"/>
                <w:lang w:val="en-US" w:eastAsia="zh-CN"/>
              </w:rPr>
              <w:t>排放</w:t>
            </w:r>
            <w:r>
              <w:rPr>
                <w:rFonts w:hint="eastAsia"/>
                <w:color w:val="auto"/>
                <w:sz w:val="24"/>
                <w:szCs w:val="24"/>
                <w:lang w:val="en-US" w:eastAsia="zh-CN"/>
              </w:rPr>
              <w:t>，共计2栋教学楼，每栋楼设置1个排气筒</w:t>
            </w:r>
            <w:r>
              <w:rPr>
                <w:rFonts w:hint="default"/>
                <w:color w:val="auto"/>
                <w:sz w:val="24"/>
                <w:szCs w:val="24"/>
                <w:lang w:val="en-US" w:eastAsia="zh-CN"/>
              </w:rPr>
              <w:t xml:space="preserve">。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color w:val="auto"/>
                <w:sz w:val="24"/>
                <w:szCs w:val="24"/>
                <w:lang w:val="en-US" w:eastAsia="zh-CN"/>
              </w:rPr>
            </w:pPr>
            <w:r>
              <w:rPr>
                <w:rFonts w:hint="eastAsia"/>
                <w:color w:val="auto"/>
                <w:sz w:val="24"/>
                <w:szCs w:val="24"/>
                <w:lang w:val="en-US" w:eastAsia="zh-CN"/>
              </w:rPr>
              <w:t>②锅炉房废气</w:t>
            </w:r>
          </w:p>
          <w:p>
            <w:pPr>
              <w:pStyle w:val="60"/>
              <w:keepNext/>
              <w:keepLines/>
              <w:pageBreakBefore w:val="0"/>
              <w:bidi w:val="0"/>
              <w:rPr>
                <w:rFonts w:hint="eastAsia"/>
                <w:color w:val="auto"/>
                <w:sz w:val="24"/>
                <w:szCs w:val="24"/>
                <w:lang w:val="en-US" w:eastAsia="zh-CN"/>
              </w:rPr>
            </w:pPr>
            <w:r>
              <w:rPr>
                <w:rFonts w:hint="eastAsia"/>
                <w:color w:val="auto"/>
                <w:sz w:val="24"/>
                <w:szCs w:val="24"/>
                <w:lang w:val="en-US" w:eastAsia="zh-CN"/>
              </w:rPr>
              <w:t>项目设置2</w:t>
            </w:r>
            <w:r>
              <w:rPr>
                <w:rFonts w:hint="default"/>
                <w:color w:val="auto"/>
                <w:sz w:val="24"/>
                <w:szCs w:val="24"/>
                <w:lang w:val="en-US" w:eastAsia="zh-CN"/>
              </w:rPr>
              <w:t>台</w:t>
            </w:r>
            <w:r>
              <w:rPr>
                <w:rFonts w:hint="eastAsia"/>
                <w:color w:val="auto"/>
                <w:sz w:val="24"/>
                <w:szCs w:val="24"/>
                <w:lang w:val="en-US" w:eastAsia="zh-CN"/>
              </w:rPr>
              <w:t>3.5</w:t>
            </w:r>
            <w:r>
              <w:rPr>
                <w:rFonts w:hint="default"/>
                <w:color w:val="auto"/>
                <w:sz w:val="24"/>
                <w:szCs w:val="24"/>
                <w:lang w:val="en-US" w:eastAsia="zh-CN"/>
              </w:rPr>
              <w:t>MW（即</w:t>
            </w:r>
            <w:r>
              <w:rPr>
                <w:rFonts w:hint="eastAsia"/>
                <w:color w:val="auto"/>
                <w:sz w:val="24"/>
                <w:szCs w:val="24"/>
                <w:lang w:val="en-US" w:eastAsia="zh-CN"/>
              </w:rPr>
              <w:t>5</w:t>
            </w:r>
            <w:r>
              <w:rPr>
                <w:rFonts w:hint="default"/>
                <w:color w:val="auto"/>
                <w:sz w:val="24"/>
                <w:szCs w:val="24"/>
                <w:lang w:val="en-US" w:eastAsia="zh-CN"/>
              </w:rPr>
              <w:t>吨）燃气热水炉</w:t>
            </w:r>
            <w:r>
              <w:rPr>
                <w:rFonts w:hint="eastAsia"/>
                <w:color w:val="auto"/>
                <w:sz w:val="24"/>
                <w:szCs w:val="24"/>
                <w:lang w:val="en-US" w:eastAsia="zh-CN"/>
              </w:rPr>
              <w:t>（一用一备）</w:t>
            </w:r>
            <w:r>
              <w:rPr>
                <w:rFonts w:hint="default"/>
                <w:color w:val="auto"/>
                <w:sz w:val="24"/>
                <w:szCs w:val="24"/>
                <w:lang w:val="en-US" w:eastAsia="zh-CN"/>
              </w:rPr>
              <w:t>供洗浴</w:t>
            </w:r>
            <w:r>
              <w:rPr>
                <w:rFonts w:hint="eastAsia"/>
                <w:color w:val="auto"/>
                <w:sz w:val="24"/>
                <w:szCs w:val="24"/>
                <w:lang w:val="en-US" w:eastAsia="zh-CN"/>
              </w:rPr>
              <w:t>，2</w:t>
            </w:r>
            <w:r>
              <w:rPr>
                <w:rFonts w:hint="default"/>
                <w:color w:val="auto"/>
                <w:sz w:val="24"/>
                <w:szCs w:val="24"/>
                <w:lang w:val="en-US" w:eastAsia="zh-CN"/>
              </w:rPr>
              <w:t>台</w:t>
            </w:r>
            <w:r>
              <w:rPr>
                <w:rFonts w:hint="eastAsia"/>
                <w:color w:val="auto"/>
                <w:sz w:val="24"/>
                <w:szCs w:val="24"/>
                <w:lang w:val="en-US" w:eastAsia="zh-CN"/>
              </w:rPr>
              <w:t>5.6</w:t>
            </w:r>
            <w:r>
              <w:rPr>
                <w:rFonts w:hint="default"/>
                <w:color w:val="auto"/>
                <w:sz w:val="24"/>
                <w:szCs w:val="24"/>
                <w:lang w:val="en-US" w:eastAsia="zh-CN"/>
              </w:rPr>
              <w:t>MW（即</w:t>
            </w:r>
            <w:r>
              <w:rPr>
                <w:rFonts w:hint="eastAsia"/>
                <w:color w:val="auto"/>
                <w:sz w:val="24"/>
                <w:szCs w:val="24"/>
                <w:lang w:val="en-US" w:eastAsia="zh-CN"/>
              </w:rPr>
              <w:t>8</w:t>
            </w:r>
            <w:r>
              <w:rPr>
                <w:rFonts w:hint="default"/>
                <w:color w:val="auto"/>
                <w:sz w:val="24"/>
                <w:szCs w:val="24"/>
                <w:lang w:val="en-US" w:eastAsia="zh-CN"/>
              </w:rPr>
              <w:t>吨）燃气热水炉</w:t>
            </w:r>
            <w:r>
              <w:rPr>
                <w:rFonts w:hint="eastAsia"/>
                <w:color w:val="auto"/>
                <w:sz w:val="24"/>
                <w:szCs w:val="24"/>
                <w:lang w:val="en-US" w:eastAsia="zh-CN"/>
              </w:rPr>
              <w:t>（一用一备）</w:t>
            </w:r>
            <w:r>
              <w:rPr>
                <w:rFonts w:hint="default"/>
                <w:color w:val="auto"/>
                <w:sz w:val="24"/>
                <w:szCs w:val="24"/>
                <w:lang w:val="en-US" w:eastAsia="zh-CN"/>
              </w:rPr>
              <w:t>供采暖</w:t>
            </w:r>
            <w:r>
              <w:rPr>
                <w:rFonts w:hint="eastAsia"/>
                <w:color w:val="auto"/>
                <w:sz w:val="24"/>
                <w:szCs w:val="24"/>
                <w:lang w:val="en-US" w:eastAsia="zh-CN"/>
              </w:rPr>
              <w:t>，项目锅炉采用超低氮燃烧器，锅炉运行过程会产生一定的废气。</w:t>
            </w:r>
          </w:p>
          <w:p>
            <w:pPr>
              <w:pStyle w:val="60"/>
              <w:keepNext/>
              <w:keepLines/>
              <w:pageBreakBefore w:val="0"/>
              <w:bidi w:val="0"/>
              <w:rPr>
                <w:rFonts w:hint="eastAsia"/>
                <w:color w:val="auto"/>
                <w:sz w:val="24"/>
                <w:szCs w:val="24"/>
                <w:lang w:val="en-US" w:eastAsia="zh-CN"/>
              </w:rPr>
            </w:pPr>
            <w:r>
              <w:rPr>
                <w:rFonts w:hint="eastAsia"/>
                <w:color w:val="auto"/>
                <w:sz w:val="24"/>
                <w:szCs w:val="24"/>
                <w:lang w:val="en-US" w:eastAsia="zh-CN"/>
              </w:rPr>
              <w:t>③食堂油烟</w:t>
            </w:r>
            <w:r>
              <w:rPr>
                <w:rFonts w:hint="default"/>
                <w:color w:val="auto"/>
                <w:sz w:val="24"/>
                <w:szCs w:val="24"/>
                <w:lang w:val="en-US" w:eastAsia="zh-CN"/>
              </w:rPr>
              <w:t xml:space="preserve">根据项目初步规划，设 </w:t>
            </w:r>
            <w:r>
              <w:rPr>
                <w:rFonts w:hint="eastAsia"/>
                <w:color w:val="auto"/>
                <w:sz w:val="24"/>
                <w:szCs w:val="24"/>
                <w:lang w:val="en-US" w:eastAsia="zh-CN"/>
              </w:rPr>
              <w:t>21</w:t>
            </w:r>
            <w:r>
              <w:rPr>
                <w:rFonts w:hint="default"/>
                <w:color w:val="auto"/>
                <w:sz w:val="24"/>
                <w:szCs w:val="24"/>
                <w:lang w:val="en-US" w:eastAsia="zh-CN"/>
              </w:rPr>
              <w:t xml:space="preserve"> 个灶头，餐饮规模为大型，</w:t>
            </w:r>
            <w:r>
              <w:rPr>
                <w:rFonts w:hint="eastAsia"/>
                <w:color w:val="auto"/>
                <w:sz w:val="24"/>
                <w:szCs w:val="24"/>
                <w:lang w:val="en-US" w:eastAsia="zh-CN"/>
              </w:rPr>
              <w:t>油烟机运行过程会产生一定的油烟废气，油烟废气通过油烟净化装置处理后达标排放。</w:t>
            </w:r>
          </w:p>
          <w:p>
            <w:pPr>
              <w:pStyle w:val="60"/>
              <w:keepNext/>
              <w:keepLines/>
              <w:pageBreakBefore w:val="0"/>
              <w:bidi w:val="0"/>
              <w:rPr>
                <w:rFonts w:hint="default"/>
                <w:color w:val="auto"/>
                <w:sz w:val="24"/>
                <w:szCs w:val="24"/>
                <w:lang w:val="en-US" w:eastAsia="zh-CN"/>
              </w:rPr>
            </w:pPr>
            <w:r>
              <w:rPr>
                <w:rFonts w:hint="eastAsia"/>
                <w:color w:val="auto"/>
                <w:sz w:val="24"/>
                <w:szCs w:val="24"/>
                <w:lang w:val="en-US" w:eastAsia="zh-CN"/>
              </w:rPr>
              <w:t>④汽车尾气</w:t>
            </w:r>
          </w:p>
          <w:p>
            <w:pPr>
              <w:pStyle w:val="60"/>
              <w:keepNext/>
              <w:keepLines/>
              <w:pageBreakBefore w:val="0"/>
              <w:bidi w:val="0"/>
              <w:rPr>
                <w:rFonts w:hint="default"/>
                <w:color w:val="auto"/>
                <w:sz w:val="24"/>
                <w:szCs w:val="24"/>
                <w:lang w:val="en-US" w:eastAsia="zh-CN"/>
              </w:rPr>
            </w:pPr>
            <w:r>
              <w:rPr>
                <w:rFonts w:hint="default"/>
                <w:color w:val="auto"/>
                <w:sz w:val="24"/>
                <w:szCs w:val="24"/>
                <w:lang w:val="en-US" w:eastAsia="zh-CN"/>
              </w:rPr>
              <w:t>本项目共建设机动车停车位</w:t>
            </w:r>
            <w:r>
              <w:rPr>
                <w:rFonts w:hint="eastAsia"/>
                <w:color w:val="auto"/>
                <w:sz w:val="24"/>
                <w:szCs w:val="24"/>
                <w:lang w:val="en-US" w:eastAsia="zh-CN"/>
              </w:rPr>
              <w:t>130个（地上80</w:t>
            </w:r>
            <w:r>
              <w:rPr>
                <w:rFonts w:hint="default"/>
                <w:color w:val="auto"/>
                <w:sz w:val="24"/>
                <w:szCs w:val="24"/>
                <w:lang w:val="en-US" w:eastAsia="zh-CN"/>
              </w:rPr>
              <w:t>个</w:t>
            </w:r>
            <w:r>
              <w:rPr>
                <w:rFonts w:hint="eastAsia"/>
                <w:color w:val="auto"/>
                <w:sz w:val="24"/>
                <w:szCs w:val="24"/>
                <w:lang w:val="en-US" w:eastAsia="zh-CN"/>
              </w:rPr>
              <w:t>，地下50个）</w:t>
            </w:r>
            <w:r>
              <w:rPr>
                <w:rFonts w:hint="default"/>
                <w:color w:val="auto"/>
                <w:sz w:val="24"/>
                <w:szCs w:val="24"/>
                <w:lang w:val="en-US" w:eastAsia="zh-CN"/>
              </w:rPr>
              <w:t xml:space="preserve"> 。汽车在启动、停车等怠速、慢速情况下排放的汽车尾气浓度最高，主要污染物为 NOx、CO、碳氢化合物，排放方式为间歇、不定时排放，车种大多为小型车。由于</w:t>
            </w:r>
            <w:r>
              <w:rPr>
                <w:rFonts w:hint="eastAsia"/>
                <w:color w:val="auto"/>
                <w:sz w:val="24"/>
                <w:szCs w:val="24"/>
                <w:lang w:val="en-US" w:eastAsia="zh-CN"/>
              </w:rPr>
              <w:t>为</w:t>
            </w:r>
            <w:r>
              <w:rPr>
                <w:rFonts w:hint="default"/>
                <w:color w:val="auto"/>
                <w:sz w:val="24"/>
                <w:szCs w:val="24"/>
                <w:lang w:val="en-US" w:eastAsia="zh-CN"/>
              </w:rPr>
              <w:t>地上停车场校区内行驶过程中排放的汽车尾气能够迅速被环境空气稀释、扩散</w:t>
            </w:r>
            <w:r>
              <w:rPr>
                <w:rFonts w:hint="eastAsia"/>
                <w:color w:val="auto"/>
                <w:sz w:val="24"/>
                <w:szCs w:val="24"/>
                <w:lang w:val="en-US" w:eastAsia="zh-CN"/>
              </w:rPr>
              <w:t>。</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eastAsia" w:ascii="宋体" w:hAnsi="宋体" w:eastAsia="宋体" w:cs="宋体"/>
                <w:color w:val="auto"/>
                <w:sz w:val="24"/>
                <w:szCs w:val="24"/>
                <w:lang w:val="en-US" w:eastAsia="zh-CN"/>
              </w:rPr>
              <w:t>⑤</w:t>
            </w:r>
            <w:r>
              <w:rPr>
                <w:rFonts w:hint="eastAsia"/>
                <w:color w:val="auto"/>
                <w:sz w:val="24"/>
                <w:szCs w:val="24"/>
                <w:lang w:val="en-US" w:eastAsia="zh-CN"/>
              </w:rPr>
              <w:t>恶臭</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eastAsia"/>
                <w:color w:val="auto"/>
                <w:sz w:val="24"/>
                <w:szCs w:val="24"/>
                <w:lang w:val="en-US" w:eastAsia="zh-CN"/>
              </w:rPr>
              <w:t>本项目设置垃圾房，学校教学楼、宿舍楼、食堂等位置设置垃圾收集桶，每天清运至垃圾房，然后统一交环卫部门处置。运营过程中会产生轻微恶臭气味，污染因子主要为臭气浓度，在校内无组织排放。</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eastAsia"/>
                <w:color w:val="auto"/>
                <w:sz w:val="24"/>
                <w:szCs w:val="24"/>
                <w:lang w:val="en-US" w:eastAsia="zh-CN"/>
              </w:rPr>
              <w:t>（2）</w:t>
            </w:r>
            <w:r>
              <w:rPr>
                <w:rFonts w:hint="default"/>
                <w:color w:val="auto"/>
                <w:sz w:val="24"/>
                <w:szCs w:val="24"/>
                <w:lang w:val="en-US" w:eastAsia="zh-CN"/>
              </w:rPr>
              <w:t xml:space="preserve">废水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ascii="Calibri" w:hAnsi="Calibri" w:cs="Calibri"/>
                <w:color w:val="auto"/>
                <w:sz w:val="24"/>
                <w:szCs w:val="24"/>
                <w:lang w:val="en-US" w:eastAsia="zh-CN"/>
              </w:rPr>
              <w:t>①</w:t>
            </w:r>
            <w:r>
              <w:rPr>
                <w:rFonts w:hint="default"/>
                <w:color w:val="auto"/>
                <w:sz w:val="24"/>
                <w:szCs w:val="24"/>
                <w:lang w:val="en-US" w:eastAsia="zh-CN"/>
              </w:rPr>
              <w:t>生活污水：项目建成运营后容纳师生为</w:t>
            </w:r>
            <w:r>
              <w:rPr>
                <w:rFonts w:hint="eastAsia"/>
                <w:color w:val="auto"/>
                <w:sz w:val="24"/>
                <w:szCs w:val="24"/>
                <w:lang w:val="en-US" w:eastAsia="zh-CN"/>
              </w:rPr>
              <w:t>3078</w:t>
            </w:r>
            <w:r>
              <w:rPr>
                <w:rFonts w:hint="default"/>
                <w:color w:val="auto"/>
                <w:sz w:val="24"/>
                <w:szCs w:val="24"/>
                <w:lang w:val="en-US" w:eastAsia="zh-CN"/>
              </w:rPr>
              <w:t>人，生活污水产生量64022.4m</w:t>
            </w:r>
            <w:r>
              <w:rPr>
                <w:rFonts w:hint="default"/>
                <w:color w:val="auto"/>
                <w:sz w:val="24"/>
                <w:szCs w:val="24"/>
                <w:vertAlign w:val="superscript"/>
                <w:lang w:val="en-US" w:eastAsia="zh-CN"/>
              </w:rPr>
              <w:t>3</w:t>
            </w:r>
            <w:r>
              <w:rPr>
                <w:rFonts w:hint="default"/>
                <w:color w:val="auto"/>
                <w:sz w:val="24"/>
                <w:szCs w:val="24"/>
                <w:lang w:val="en-US" w:eastAsia="zh-CN"/>
              </w:rPr>
              <w:t xml:space="preserve">/a。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ascii="Calibri" w:hAnsi="Calibri" w:cs="Calibri"/>
                <w:color w:val="auto"/>
                <w:sz w:val="24"/>
                <w:szCs w:val="24"/>
                <w:lang w:val="en-US" w:eastAsia="zh-CN"/>
              </w:rPr>
              <w:t>②</w:t>
            </w:r>
            <w:r>
              <w:rPr>
                <w:rFonts w:hint="default"/>
                <w:color w:val="auto"/>
                <w:sz w:val="24"/>
                <w:szCs w:val="24"/>
                <w:lang w:val="en-US" w:eastAsia="zh-CN"/>
              </w:rPr>
              <w:t xml:space="preserve">实验室废水 </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color w:val="auto"/>
                <w:sz w:val="24"/>
                <w:szCs w:val="24"/>
                <w:lang w:val="en-US" w:eastAsia="zh-CN"/>
              </w:rPr>
              <w:t>学校建设化学、物理、生物实验室，实验室均为简单的授课使用，物理实验室主要进行简单的电学、力学等试验，生物实验室主要以显微镜观察试验为主，主要是植物形态、少量的细胞观察；化学实验室主要进行简单的酸碱盐试验。实验室用水包含试剂配制、器皿、试验台清洗等。含化学试剂的实验残液</w:t>
            </w:r>
            <w:r>
              <w:rPr>
                <w:rFonts w:hint="eastAsia"/>
                <w:color w:val="auto"/>
                <w:sz w:val="24"/>
                <w:szCs w:val="24"/>
                <w:lang w:val="en-US" w:eastAsia="zh-CN"/>
              </w:rPr>
              <w:t>使用HDPE废液桶</w:t>
            </w:r>
            <w:r>
              <w:rPr>
                <w:rFonts w:hint="default"/>
                <w:color w:val="auto"/>
                <w:sz w:val="24"/>
                <w:szCs w:val="24"/>
                <w:lang w:val="en-US" w:eastAsia="zh-CN"/>
              </w:rPr>
              <w:t>收集，危废交有资质的单位处理。</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default"/>
                <w:color w:val="auto"/>
                <w:sz w:val="24"/>
                <w:szCs w:val="24"/>
                <w:lang w:val="en-US" w:eastAsia="zh-CN"/>
              </w:rPr>
              <w:t>实验室清洗废水</w:t>
            </w:r>
            <w:r>
              <w:rPr>
                <w:rFonts w:hint="eastAsia"/>
                <w:color w:val="auto"/>
                <w:sz w:val="24"/>
                <w:szCs w:val="24"/>
                <w:lang w:val="en-US" w:eastAsia="zh-CN"/>
              </w:rPr>
              <w:t>统一收集后，经过实验室废水处理装置</w:t>
            </w:r>
            <w:r>
              <w:rPr>
                <w:rFonts w:hint="default"/>
                <w:color w:val="auto"/>
                <w:sz w:val="24"/>
                <w:szCs w:val="24"/>
                <w:lang w:val="en-US" w:eastAsia="zh-CN"/>
              </w:rPr>
              <w:t>处理后与</w:t>
            </w:r>
            <w:r>
              <w:rPr>
                <w:rFonts w:hint="eastAsia"/>
                <w:color w:val="auto"/>
                <w:sz w:val="24"/>
                <w:szCs w:val="24"/>
                <w:lang w:val="en-US" w:eastAsia="zh-CN"/>
              </w:rPr>
              <w:t>隔油后的</w:t>
            </w:r>
            <w:r>
              <w:rPr>
                <w:rFonts w:hint="default"/>
                <w:color w:val="auto"/>
                <w:sz w:val="24"/>
                <w:szCs w:val="24"/>
                <w:lang w:val="en-US" w:eastAsia="zh-CN"/>
              </w:rPr>
              <w:t>生活污水一起排入化粪池，之后接管至</w:t>
            </w:r>
            <w:r>
              <w:rPr>
                <w:rFonts w:hint="eastAsia"/>
                <w:color w:val="auto"/>
                <w:sz w:val="24"/>
                <w:szCs w:val="24"/>
                <w:lang w:val="en-US" w:eastAsia="zh-CN"/>
              </w:rPr>
              <w:t>乐都区污水处理厂</w:t>
            </w:r>
            <w:r>
              <w:rPr>
                <w:rFonts w:hint="default"/>
                <w:color w:val="auto"/>
                <w:sz w:val="24"/>
                <w:szCs w:val="24"/>
                <w:lang w:val="en-US" w:eastAsia="zh-CN"/>
              </w:rPr>
              <w:t xml:space="preserve">。 </w:t>
            </w:r>
          </w:p>
          <w:p>
            <w:pPr>
              <w:pStyle w:val="9"/>
              <w:keepNext/>
              <w:keepLines/>
              <w:pageBreakBefore w:val="0"/>
              <w:numPr>
                <w:ilvl w:val="0"/>
                <w:numId w:val="0"/>
              </w:numPr>
              <w:bidi w:val="0"/>
              <w:ind w:right="113" w:rightChars="0" w:firstLine="480" w:firstLineChars="200"/>
              <w:rPr>
                <w:rFonts w:hint="eastAsia"/>
                <w:color w:val="auto"/>
                <w:sz w:val="24"/>
                <w:szCs w:val="24"/>
                <w:lang w:val="en-US" w:eastAsia="zh-CN"/>
              </w:rPr>
            </w:pPr>
            <w:r>
              <w:rPr>
                <w:rFonts w:hint="default" w:ascii="Calibri" w:hAnsi="Calibri" w:cs="Calibri"/>
                <w:color w:val="auto"/>
                <w:sz w:val="24"/>
                <w:szCs w:val="24"/>
                <w:lang w:val="en-US" w:eastAsia="zh-CN"/>
              </w:rPr>
              <w:t>③</w:t>
            </w:r>
            <w:r>
              <w:rPr>
                <w:rFonts w:hint="eastAsia"/>
                <w:color w:val="auto"/>
                <w:sz w:val="24"/>
                <w:szCs w:val="24"/>
                <w:lang w:val="en-US" w:eastAsia="zh-CN"/>
              </w:rPr>
              <w:t>锅炉房废水</w:t>
            </w:r>
          </w:p>
          <w:p>
            <w:pPr>
              <w:keepNext/>
              <w:keepLines/>
              <w:pageBreakBefore w:val="0"/>
              <w:wordWrap w:val="0"/>
              <w:topLinePunct/>
              <w:bidi w:val="0"/>
              <w:spacing w:line="360" w:lineRule="auto"/>
              <w:ind w:firstLine="480" w:firstLineChars="200"/>
              <w:rPr>
                <w:rFonts w:hint="default" w:ascii="Times New Roman" w:hAnsi="Times New Roman" w:eastAsia="宋体" w:cs="Times New Roman"/>
                <w:color w:val="auto"/>
                <w:sz w:val="24"/>
                <w:szCs w:val="24"/>
                <w:lang w:val="en-US" w:eastAsia="zh-CN" w:bidi="ar-SA"/>
              </w:rPr>
            </w:pPr>
            <w:r>
              <w:rPr>
                <w:rFonts w:hint="eastAsia" w:ascii="Times New Roman" w:eastAsia="宋体"/>
                <w:color w:val="auto"/>
                <w:sz w:val="24"/>
                <w:szCs w:val="24"/>
                <w:lang w:val="en-US" w:eastAsia="zh-CN"/>
              </w:rPr>
              <w:t>根据公用工程中锅炉房用水计算过程可知，</w:t>
            </w:r>
            <w:r>
              <w:rPr>
                <w:rFonts w:hint="eastAsia"/>
                <w:color w:val="auto"/>
                <w:sz w:val="24"/>
                <w:szCs w:val="24"/>
                <w:lang w:val="en-US" w:eastAsia="zh-CN"/>
              </w:rPr>
              <w:t>锅炉房排污水为347.3</w:t>
            </w:r>
            <w:r>
              <w:rPr>
                <w:rFonts w:hint="default"/>
                <w:color w:val="auto"/>
                <w:sz w:val="24"/>
                <w:szCs w:val="24"/>
                <w:lang w:val="en-US" w:eastAsia="zh-CN"/>
              </w:rPr>
              <w:t>m</w:t>
            </w:r>
            <w:r>
              <w:rPr>
                <w:rFonts w:hint="default"/>
                <w:color w:val="auto"/>
                <w:sz w:val="24"/>
                <w:szCs w:val="24"/>
                <w:vertAlign w:val="superscript"/>
                <w:lang w:val="en-US" w:eastAsia="zh-CN"/>
              </w:rPr>
              <w:t>3</w:t>
            </w:r>
            <w:r>
              <w:rPr>
                <w:rFonts w:hint="default"/>
                <w:color w:val="auto"/>
                <w:sz w:val="24"/>
                <w:szCs w:val="24"/>
                <w:lang w:val="en-US" w:eastAsia="zh-CN"/>
              </w:rPr>
              <w:t>/a</w:t>
            </w:r>
            <w:r>
              <w:rPr>
                <w:rFonts w:hint="eastAsia"/>
                <w:color w:val="auto"/>
                <w:sz w:val="24"/>
                <w:szCs w:val="24"/>
                <w:lang w:val="en-US" w:eastAsia="zh-CN"/>
              </w:rPr>
              <w:t>，</w:t>
            </w:r>
            <w:r>
              <w:rPr>
                <w:rFonts w:hint="default" w:ascii="Times New Roman" w:hAnsi="Times New Roman" w:eastAsia="宋体" w:cs="Times New Roman"/>
                <w:color w:val="auto"/>
                <w:sz w:val="24"/>
                <w:szCs w:val="24"/>
                <w:lang w:val="en-US" w:eastAsia="zh-CN"/>
              </w:rPr>
              <w:t>反冲洗</w:t>
            </w:r>
            <w:r>
              <w:rPr>
                <w:rFonts w:hint="eastAsia" w:cs="Times New Roman"/>
                <w:color w:val="auto"/>
                <w:sz w:val="24"/>
                <w:szCs w:val="24"/>
                <w:lang w:val="en-US" w:eastAsia="zh-CN"/>
              </w:rPr>
              <w:t>废</w:t>
            </w:r>
            <w:r>
              <w:rPr>
                <w:rFonts w:hint="default" w:ascii="Times New Roman" w:hAnsi="Times New Roman" w:eastAsia="宋体" w:cs="Times New Roman"/>
                <w:color w:val="auto"/>
                <w:sz w:val="24"/>
                <w:szCs w:val="24"/>
                <w:lang w:val="en-US" w:eastAsia="zh-CN"/>
              </w:rPr>
              <w:t>水</w:t>
            </w:r>
            <w:r>
              <w:rPr>
                <w:rFonts w:hint="eastAsia" w:cs="Times New Roman"/>
                <w:color w:val="auto"/>
                <w:sz w:val="24"/>
                <w:szCs w:val="24"/>
                <w:lang w:val="en-US" w:eastAsia="zh-CN"/>
              </w:rPr>
              <w:t>2890.74</w:t>
            </w:r>
            <w:r>
              <w:rPr>
                <w:rFonts w:hint="default" w:ascii="Times New Roman" w:hAnsi="Times New Roman" w:eastAsia="宋体" w:cs="Times New Roman"/>
                <w:color w:val="auto"/>
                <w:sz w:val="24"/>
                <w:szCs w:val="24"/>
                <w:lang w:val="en-US" w:eastAsia="zh-CN"/>
              </w:rPr>
              <w:t>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/a</w:t>
            </w:r>
            <w:r>
              <w:rPr>
                <w:rFonts w:hint="eastAsia" w:ascii="Times New Roman" w:eastAsia="宋体"/>
                <w:color w:val="auto"/>
                <w:sz w:val="24"/>
                <w:szCs w:val="24"/>
                <w:lang w:val="en-US" w:eastAsia="zh-CN"/>
              </w:rPr>
              <w:t>，锅炉房产生的废水为清净下水，可直接排入污水管网</w:t>
            </w:r>
            <w:r>
              <w:rPr>
                <w:rFonts w:hint="default" w:ascii="Times New Roman" w:hAnsi="Times New Roman" w:eastAsia="宋体" w:cs="Times New Roman"/>
                <w:color w:val="auto"/>
                <w:sz w:val="24"/>
                <w:szCs w:val="24"/>
                <w:lang w:val="en-US" w:eastAsia="zh-CN" w:bidi="ar-SA"/>
              </w:rPr>
              <w:t>。</w:t>
            </w:r>
          </w:p>
          <w:p>
            <w:pPr>
              <w:pStyle w:val="60"/>
              <w:bidi w:val="0"/>
              <w:rPr>
                <w:rFonts w:hint="default"/>
                <w:color w:val="auto"/>
                <w:sz w:val="24"/>
                <w:szCs w:val="24"/>
                <w:lang w:val="en-US" w:eastAsia="zh-CN"/>
              </w:rPr>
            </w:pPr>
            <w:r>
              <w:rPr>
                <w:rFonts w:hint="eastAsia"/>
                <w:color w:val="auto"/>
                <w:sz w:val="24"/>
                <w:szCs w:val="24"/>
                <w:lang w:val="en-US" w:eastAsia="zh-CN"/>
              </w:rPr>
              <w:t>（3）</w:t>
            </w:r>
            <w:r>
              <w:rPr>
                <w:rFonts w:hint="default"/>
                <w:color w:val="auto"/>
                <w:sz w:val="24"/>
                <w:szCs w:val="24"/>
                <w:lang w:val="en-US" w:eastAsia="zh-CN"/>
              </w:rPr>
              <w:t xml:space="preserve">噪声 </w:t>
            </w:r>
          </w:p>
          <w:p>
            <w:pPr>
              <w:pStyle w:val="60"/>
              <w:bidi w:val="0"/>
              <w:rPr>
                <w:rFonts w:hint="default"/>
                <w:color w:val="auto"/>
                <w:sz w:val="24"/>
                <w:szCs w:val="24"/>
                <w:lang w:val="en-US" w:eastAsia="zh-CN"/>
              </w:rPr>
            </w:pPr>
            <w:r>
              <w:rPr>
                <w:rFonts w:hint="default"/>
                <w:color w:val="auto"/>
                <w:sz w:val="24"/>
                <w:szCs w:val="24"/>
                <w:lang w:val="en-US" w:eastAsia="zh-CN"/>
              </w:rPr>
              <w:t>本项目主要噪声源为是</w:t>
            </w:r>
            <w:r>
              <w:rPr>
                <w:rFonts w:hint="eastAsia"/>
                <w:color w:val="auto"/>
                <w:sz w:val="24"/>
                <w:szCs w:val="24"/>
                <w:lang w:val="en-US" w:eastAsia="zh-CN"/>
              </w:rPr>
              <w:t>锅炉房锅炉和水泵、生活</w:t>
            </w:r>
            <w:r>
              <w:rPr>
                <w:rFonts w:hint="default"/>
                <w:color w:val="auto"/>
                <w:sz w:val="24"/>
                <w:szCs w:val="24"/>
                <w:lang w:val="en-US" w:eastAsia="zh-CN"/>
              </w:rPr>
              <w:t>水泵、配电设施</w:t>
            </w:r>
            <w:r>
              <w:rPr>
                <w:rFonts w:hint="eastAsia"/>
                <w:color w:val="auto"/>
                <w:sz w:val="24"/>
                <w:szCs w:val="24"/>
                <w:lang w:val="en-US" w:eastAsia="zh-CN"/>
              </w:rPr>
              <w:t>、风机、</w:t>
            </w:r>
            <w:r>
              <w:rPr>
                <w:rFonts w:hint="default"/>
                <w:color w:val="auto"/>
                <w:sz w:val="24"/>
                <w:szCs w:val="24"/>
                <w:lang w:val="en-US" w:eastAsia="zh-CN"/>
              </w:rPr>
              <w:t>校内车辆、社会生活等噪声，噪声源强在60～90dB(A)之间。通过对类似工程噪声源源强类比调查结果分析，本项目主要噪声源具体见表2-</w:t>
            </w:r>
            <w:r>
              <w:rPr>
                <w:rFonts w:hint="eastAsia"/>
                <w:color w:val="auto"/>
                <w:sz w:val="24"/>
                <w:szCs w:val="24"/>
                <w:lang w:val="en-US" w:eastAsia="zh-CN"/>
              </w:rPr>
              <w:t>7</w:t>
            </w:r>
            <w:r>
              <w:rPr>
                <w:rFonts w:hint="default"/>
                <w:color w:val="auto"/>
                <w:sz w:val="24"/>
                <w:szCs w:val="24"/>
                <w:lang w:val="en-US" w:eastAsia="zh-CN"/>
              </w:rPr>
              <w:t>。</w:t>
            </w:r>
          </w:p>
          <w:p>
            <w:pPr>
              <w:pStyle w:val="27"/>
              <w:bidi w:val="0"/>
              <w:rPr>
                <w:color w:val="auto"/>
              </w:rPr>
            </w:pPr>
            <w:r>
              <w:rPr>
                <w:color w:val="auto"/>
                <w:lang w:val="en-US" w:eastAsia="zh-CN"/>
              </w:rPr>
              <w:t xml:space="preserve">表 </w:t>
            </w:r>
            <w:r>
              <w:rPr>
                <w:rFonts w:hint="default"/>
                <w:color w:val="auto"/>
                <w:lang w:val="en-US" w:eastAsia="zh-CN"/>
              </w:rPr>
              <w:t>2-</w:t>
            </w:r>
            <w:r>
              <w:rPr>
                <w:rFonts w:hint="eastAsia"/>
                <w:color w:val="auto"/>
                <w:lang w:val="en-US" w:eastAsia="zh-CN"/>
              </w:rPr>
              <w:t>7</w:t>
            </w:r>
            <w:r>
              <w:rPr>
                <w:rFonts w:hint="default"/>
                <w:color w:val="auto"/>
                <w:lang w:val="en-US" w:eastAsia="zh-CN"/>
              </w:rPr>
              <w:t xml:space="preserve"> 主要产噪设备的声源特性汇总一览表</w:t>
            </w:r>
          </w:p>
          <w:tbl>
            <w:tblPr>
              <w:tblStyle w:val="22"/>
              <w:tblW w:w="47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2284"/>
              <w:gridCol w:w="2284"/>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pct"/>
                  <w:noWrap w:val="0"/>
                  <w:vAlign w:val="center"/>
                </w:tcPr>
                <w:p>
                  <w:pPr>
                    <w:pStyle w:val="28"/>
                    <w:bidi w:val="0"/>
                    <w:rPr>
                      <w:rFonts w:hint="eastAsia"/>
                      <w:b/>
                      <w:bCs/>
                      <w:color w:val="auto"/>
                      <w:lang w:val="en-US" w:eastAsia="zh-CN" w:bidi="ar-SA"/>
                    </w:rPr>
                  </w:pPr>
                  <w:r>
                    <w:rPr>
                      <w:rFonts w:hint="eastAsia"/>
                      <w:b/>
                      <w:bCs/>
                      <w:color w:val="auto"/>
                      <w:lang w:val="en-US" w:eastAsia="zh-CN" w:bidi="ar-SA"/>
                    </w:rPr>
                    <w:t>序号</w:t>
                  </w:r>
                </w:p>
              </w:tc>
              <w:tc>
                <w:tcPr>
                  <w:tcW w:w="1427" w:type="pct"/>
                  <w:noWrap w:val="0"/>
                  <w:vAlign w:val="center"/>
                </w:tcPr>
                <w:p>
                  <w:pPr>
                    <w:pStyle w:val="28"/>
                    <w:bidi w:val="0"/>
                    <w:rPr>
                      <w:rFonts w:hint="eastAsia"/>
                      <w:b/>
                      <w:bCs/>
                      <w:color w:val="auto"/>
                      <w:lang w:val="en-US" w:eastAsia="zh-CN" w:bidi="ar-SA"/>
                    </w:rPr>
                  </w:pPr>
                  <w:r>
                    <w:rPr>
                      <w:rFonts w:hint="eastAsia"/>
                      <w:b/>
                      <w:bCs/>
                      <w:color w:val="auto"/>
                      <w:lang w:val="en-US" w:eastAsia="zh-CN" w:bidi="ar-SA"/>
                    </w:rPr>
                    <w:t>噪声源</w:t>
                  </w:r>
                </w:p>
              </w:tc>
              <w:tc>
                <w:tcPr>
                  <w:tcW w:w="1427" w:type="pct"/>
                  <w:noWrap w:val="0"/>
                  <w:vAlign w:val="center"/>
                </w:tcPr>
                <w:p>
                  <w:pPr>
                    <w:pStyle w:val="28"/>
                    <w:bidi w:val="0"/>
                    <w:rPr>
                      <w:rFonts w:hint="default"/>
                      <w:b/>
                      <w:bCs/>
                      <w:color w:val="auto"/>
                      <w:lang w:val="en-US" w:eastAsia="zh-CN" w:bidi="ar-SA"/>
                    </w:rPr>
                  </w:pPr>
                  <w:r>
                    <w:rPr>
                      <w:rFonts w:hint="eastAsia"/>
                      <w:b/>
                      <w:bCs/>
                      <w:color w:val="auto"/>
                      <w:lang w:val="en-US" w:eastAsia="zh-CN" w:bidi="ar-SA"/>
                    </w:rPr>
                    <w:t>设备名称</w:t>
                  </w:r>
                </w:p>
              </w:tc>
              <w:tc>
                <w:tcPr>
                  <w:tcW w:w="1427" w:type="pct"/>
                  <w:noWrap w:val="0"/>
                  <w:vAlign w:val="center"/>
                </w:tcPr>
                <w:p>
                  <w:pPr>
                    <w:pStyle w:val="28"/>
                    <w:bidi w:val="0"/>
                    <w:rPr>
                      <w:b/>
                      <w:bCs/>
                      <w:color w:val="auto"/>
                      <w:lang w:val="en-US" w:eastAsia="zh-CN" w:bidi="ar-SA"/>
                    </w:rPr>
                  </w:pPr>
                  <w:r>
                    <w:rPr>
                      <w:rFonts w:hint="eastAsia"/>
                      <w:b/>
                      <w:bCs/>
                      <w:color w:val="auto"/>
                      <w:lang w:val="en-US" w:eastAsia="zh-CN" w:bidi="ar-SA"/>
                    </w:rPr>
                    <w:t xml:space="preserve">等效声级 </w:t>
                  </w:r>
                  <w:r>
                    <w:rPr>
                      <w:rFonts w:hint="default"/>
                      <w:b/>
                      <w:bCs/>
                      <w:color w:val="auto"/>
                      <w:lang w:val="en-US" w:eastAsia="zh-CN" w:bidi="ar-SA"/>
                    </w:rPr>
                    <w:t>dB</w:t>
                  </w:r>
                  <w:r>
                    <w:rPr>
                      <w:rFonts w:hint="eastAsia"/>
                      <w:b/>
                      <w:bCs/>
                      <w:color w:val="auto"/>
                      <w:lang w:val="en-US" w:eastAsia="zh-CN" w:bidi="ar-SA"/>
                    </w:rPr>
                    <w:t>（</w:t>
                  </w:r>
                  <w:r>
                    <w:rPr>
                      <w:rFonts w:hint="default"/>
                      <w:b/>
                      <w:bCs/>
                      <w:color w:val="auto"/>
                      <w:lang w:val="en-US" w:eastAsia="zh-CN" w:bidi="ar-SA"/>
                    </w:rPr>
                    <w:t>A</w:t>
                  </w:r>
                  <w:r>
                    <w:rPr>
                      <w:rFonts w:hint="eastAsia"/>
                      <w:b/>
                      <w:bCs/>
                      <w:color w:val="auto"/>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pct"/>
                  <w:noWrap w:val="0"/>
                  <w:vAlign w:val="center"/>
                </w:tcPr>
                <w:p>
                  <w:pPr>
                    <w:pStyle w:val="28"/>
                    <w:bidi w:val="0"/>
                    <w:rPr>
                      <w:rFonts w:hint="eastAsia"/>
                      <w:color w:val="auto"/>
                      <w:lang w:val="en-US" w:eastAsia="zh-CN" w:bidi="ar-SA"/>
                    </w:rPr>
                  </w:pPr>
                  <w:r>
                    <w:rPr>
                      <w:rFonts w:hint="eastAsia"/>
                      <w:color w:val="auto"/>
                      <w:lang w:val="en-US" w:eastAsia="zh-CN" w:bidi="ar-SA"/>
                    </w:rPr>
                    <w:t>1</w:t>
                  </w:r>
                </w:p>
              </w:tc>
              <w:tc>
                <w:tcPr>
                  <w:tcW w:w="1427" w:type="pct"/>
                  <w:noWrap w:val="0"/>
                  <w:vAlign w:val="center"/>
                </w:tcPr>
                <w:p>
                  <w:pPr>
                    <w:pStyle w:val="28"/>
                    <w:bidi w:val="0"/>
                    <w:rPr>
                      <w:rFonts w:hint="default"/>
                      <w:color w:val="auto"/>
                      <w:lang w:val="en-US" w:eastAsia="zh-CN" w:bidi="ar-SA"/>
                    </w:rPr>
                  </w:pPr>
                  <w:r>
                    <w:rPr>
                      <w:rFonts w:hint="default"/>
                      <w:color w:val="auto"/>
                      <w:lang w:val="en-US" w:eastAsia="zh-CN" w:bidi="ar-SA"/>
                    </w:rPr>
                    <w:t>锅炉房</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锅炉和水泵</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pct"/>
                  <w:noWrap w:val="0"/>
                  <w:vAlign w:val="center"/>
                </w:tcPr>
                <w:p>
                  <w:pPr>
                    <w:pStyle w:val="28"/>
                    <w:bidi w:val="0"/>
                    <w:rPr>
                      <w:rFonts w:hint="eastAsia"/>
                      <w:color w:val="auto"/>
                      <w:lang w:val="en-US" w:eastAsia="zh-CN" w:bidi="ar-SA"/>
                    </w:rPr>
                  </w:pPr>
                  <w:r>
                    <w:rPr>
                      <w:rFonts w:hint="eastAsia"/>
                      <w:color w:val="auto"/>
                      <w:lang w:val="en-US" w:eastAsia="zh-CN" w:bidi="ar-SA"/>
                    </w:rPr>
                    <w:t>2</w:t>
                  </w:r>
                </w:p>
              </w:tc>
              <w:tc>
                <w:tcPr>
                  <w:tcW w:w="1427" w:type="pct"/>
                  <w:noWrap w:val="0"/>
                  <w:vAlign w:val="center"/>
                </w:tcPr>
                <w:p>
                  <w:pPr>
                    <w:pStyle w:val="28"/>
                    <w:bidi w:val="0"/>
                    <w:rPr>
                      <w:rFonts w:hint="eastAsia"/>
                      <w:color w:val="auto"/>
                      <w:lang w:val="en-US" w:eastAsia="zh-CN" w:bidi="ar-SA"/>
                    </w:rPr>
                  </w:pPr>
                  <w:r>
                    <w:rPr>
                      <w:rFonts w:hint="eastAsia"/>
                      <w:color w:val="auto"/>
                      <w:lang w:val="en-US" w:eastAsia="zh-CN" w:bidi="ar-SA"/>
                    </w:rPr>
                    <w:t>水泵房</w:t>
                  </w:r>
                </w:p>
              </w:tc>
              <w:tc>
                <w:tcPr>
                  <w:tcW w:w="1427" w:type="pct"/>
                  <w:noWrap w:val="0"/>
                  <w:vAlign w:val="center"/>
                </w:tcPr>
                <w:p>
                  <w:pPr>
                    <w:pStyle w:val="28"/>
                    <w:bidi w:val="0"/>
                    <w:rPr>
                      <w:rFonts w:hint="eastAsia"/>
                      <w:color w:val="auto"/>
                      <w:lang w:val="en-US" w:eastAsia="zh-CN" w:bidi="ar-SA"/>
                    </w:rPr>
                  </w:pPr>
                  <w:r>
                    <w:rPr>
                      <w:rFonts w:hint="eastAsia"/>
                      <w:color w:val="auto"/>
                      <w:lang w:val="en-US" w:eastAsia="zh-CN" w:bidi="ar-SA"/>
                    </w:rPr>
                    <w:t>水泵</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75-80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7" w:type="pct"/>
                  <w:noWrap w:val="0"/>
                  <w:vAlign w:val="center"/>
                </w:tcPr>
                <w:p>
                  <w:pPr>
                    <w:pStyle w:val="28"/>
                    <w:bidi w:val="0"/>
                    <w:rPr>
                      <w:rFonts w:hint="eastAsia"/>
                      <w:color w:val="auto"/>
                      <w:lang w:val="en-US" w:eastAsia="zh-CN" w:bidi="ar-SA"/>
                    </w:rPr>
                  </w:pPr>
                  <w:r>
                    <w:rPr>
                      <w:rFonts w:hint="eastAsia"/>
                      <w:color w:val="auto"/>
                      <w:lang w:val="en-US" w:eastAsia="zh-CN" w:bidi="ar-SA"/>
                    </w:rPr>
                    <w:t>3</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配电室</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配电设施</w:t>
                  </w:r>
                </w:p>
              </w:tc>
              <w:tc>
                <w:tcPr>
                  <w:tcW w:w="1427" w:type="pct"/>
                  <w:noWrap w:val="0"/>
                  <w:vAlign w:val="center"/>
                </w:tcPr>
                <w:p>
                  <w:pPr>
                    <w:pStyle w:val="28"/>
                    <w:bidi w:val="0"/>
                    <w:rPr>
                      <w:rFonts w:hint="eastAsia"/>
                      <w:color w:val="auto"/>
                      <w:lang w:val="en-US" w:eastAsia="zh-CN" w:bidi="ar-SA"/>
                    </w:rPr>
                  </w:pPr>
                  <w:r>
                    <w:rPr>
                      <w:rFonts w:hint="eastAsia"/>
                      <w:color w:val="auto"/>
                      <w:lang w:val="en-US" w:eastAsia="zh-CN" w:bidi="ar-SA"/>
                    </w:rPr>
                    <w:t>60-65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pct"/>
                  <w:noWrap w:val="0"/>
                  <w:vAlign w:val="center"/>
                </w:tcPr>
                <w:p>
                  <w:pPr>
                    <w:pStyle w:val="28"/>
                    <w:bidi w:val="0"/>
                    <w:rPr>
                      <w:rFonts w:hint="eastAsia"/>
                      <w:color w:val="auto"/>
                      <w:lang w:val="en-US" w:eastAsia="zh-CN" w:bidi="ar-SA"/>
                    </w:rPr>
                  </w:pPr>
                  <w:r>
                    <w:rPr>
                      <w:rFonts w:hint="eastAsia"/>
                      <w:color w:val="auto"/>
                      <w:lang w:val="en-US" w:eastAsia="zh-CN" w:bidi="ar-SA"/>
                    </w:rPr>
                    <w:t>4</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通风设施</w:t>
                  </w:r>
                </w:p>
              </w:tc>
              <w:tc>
                <w:tcPr>
                  <w:tcW w:w="1427" w:type="pct"/>
                  <w:noWrap w:val="0"/>
                  <w:vAlign w:val="center"/>
                </w:tcPr>
                <w:p>
                  <w:pPr>
                    <w:pStyle w:val="28"/>
                    <w:bidi w:val="0"/>
                    <w:rPr>
                      <w:rFonts w:hint="eastAsia"/>
                      <w:color w:val="auto"/>
                      <w:lang w:val="en-US" w:eastAsia="zh-CN" w:bidi="ar-SA"/>
                    </w:rPr>
                  </w:pPr>
                  <w:r>
                    <w:rPr>
                      <w:rFonts w:hint="eastAsia"/>
                      <w:color w:val="auto"/>
                      <w:lang w:val="en-US" w:eastAsia="zh-CN" w:bidi="ar-SA"/>
                    </w:rPr>
                    <w:t>风机</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pct"/>
                  <w:noWrap w:val="0"/>
                  <w:vAlign w:val="center"/>
                </w:tcPr>
                <w:p>
                  <w:pPr>
                    <w:pStyle w:val="28"/>
                    <w:bidi w:val="0"/>
                    <w:rPr>
                      <w:rFonts w:hint="default"/>
                      <w:color w:val="auto"/>
                      <w:lang w:val="en-US" w:eastAsia="zh-CN" w:bidi="ar-SA"/>
                    </w:rPr>
                  </w:pPr>
                  <w:r>
                    <w:rPr>
                      <w:rFonts w:hint="eastAsia"/>
                      <w:color w:val="auto"/>
                      <w:lang w:val="en-US" w:eastAsia="zh-CN" w:bidi="ar-SA"/>
                    </w:rPr>
                    <w:t>5</w:t>
                  </w:r>
                </w:p>
              </w:tc>
              <w:tc>
                <w:tcPr>
                  <w:tcW w:w="1427" w:type="pct"/>
                  <w:noWrap w:val="0"/>
                  <w:vAlign w:val="center"/>
                </w:tcPr>
                <w:p>
                  <w:pPr>
                    <w:pStyle w:val="28"/>
                    <w:bidi w:val="0"/>
                    <w:rPr>
                      <w:rFonts w:hint="eastAsia"/>
                      <w:color w:val="auto"/>
                      <w:lang w:val="en-US" w:eastAsia="zh-CN" w:bidi="ar-SA"/>
                    </w:rPr>
                  </w:pPr>
                  <w:r>
                    <w:rPr>
                      <w:rFonts w:hint="eastAsia"/>
                      <w:color w:val="auto"/>
                      <w:lang w:val="en-US" w:eastAsia="zh-CN" w:bidi="ar-SA"/>
                    </w:rPr>
                    <w:t>校内车辆</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汽车</w:t>
                  </w:r>
                </w:p>
              </w:tc>
              <w:tc>
                <w:tcPr>
                  <w:tcW w:w="1427" w:type="pct"/>
                  <w:noWrap w:val="0"/>
                  <w:vAlign w:val="center"/>
                </w:tcPr>
                <w:p>
                  <w:pPr>
                    <w:pStyle w:val="28"/>
                    <w:bidi w:val="0"/>
                    <w:rPr>
                      <w:rFonts w:hint="default"/>
                      <w:color w:val="auto"/>
                      <w:lang w:val="en-US" w:eastAsia="zh-CN" w:bidi="ar-SA"/>
                    </w:rPr>
                  </w:pPr>
                  <w:r>
                    <w:rPr>
                      <w:rFonts w:hint="eastAsia"/>
                      <w:color w:val="auto"/>
                      <w:lang w:val="en-US" w:eastAsia="zh-CN" w:bidi="ar-SA"/>
                    </w:rPr>
                    <w:t>65-70</w:t>
                  </w:r>
                </w:p>
              </w:tc>
            </w:tr>
          </w:tbl>
          <w:p>
            <w:pPr>
              <w:pStyle w:val="60"/>
              <w:bidi w:val="0"/>
              <w:rPr>
                <w:rFonts w:hint="default"/>
                <w:color w:val="auto"/>
              </w:rPr>
            </w:pPr>
            <w:r>
              <w:rPr>
                <w:rFonts w:hint="eastAsia"/>
                <w:color w:val="auto"/>
                <w:lang w:val="en-US" w:eastAsia="zh-CN"/>
              </w:rPr>
              <w:t>（4）</w:t>
            </w:r>
            <w:r>
              <w:rPr>
                <w:rFonts w:hint="default"/>
                <w:color w:val="auto"/>
                <w:lang w:val="en-US" w:eastAsia="zh-CN"/>
              </w:rPr>
              <w:t xml:space="preserve">固体废物 </w:t>
            </w:r>
          </w:p>
          <w:p>
            <w:pPr>
              <w:pStyle w:val="60"/>
              <w:bidi w:val="0"/>
              <w:rPr>
                <w:rFonts w:hint="default"/>
                <w:color w:val="auto"/>
              </w:rPr>
            </w:pPr>
            <w:r>
              <w:rPr>
                <w:rFonts w:hint="default"/>
                <w:color w:val="auto"/>
                <w:lang w:val="en-US" w:eastAsia="zh-CN"/>
              </w:rPr>
              <w:t xml:space="preserve">项目运行产生的固体废物主要为生活垃圾和实验室废弃物。 </w:t>
            </w:r>
          </w:p>
          <w:p>
            <w:pPr>
              <w:pStyle w:val="60"/>
              <w:bidi w:val="0"/>
              <w:rPr>
                <w:rFonts w:hint="default"/>
                <w:color w:val="auto"/>
              </w:rPr>
            </w:pPr>
            <w:r>
              <w:rPr>
                <w:rFonts w:hint="default" w:ascii="Calibri" w:hAnsi="Calibri" w:cs="Calibri"/>
                <w:color w:val="auto"/>
                <w:lang w:val="en-US" w:eastAsia="zh-CN"/>
              </w:rPr>
              <w:t>①</w:t>
            </w:r>
            <w:r>
              <w:rPr>
                <w:rFonts w:hint="default"/>
                <w:color w:val="auto"/>
                <w:lang w:val="en-US" w:eastAsia="zh-CN"/>
              </w:rPr>
              <w:t xml:space="preserve">实验室废弃物 </w:t>
            </w:r>
          </w:p>
          <w:p>
            <w:pPr>
              <w:pStyle w:val="60"/>
              <w:bidi w:val="0"/>
              <w:rPr>
                <w:rFonts w:hint="default"/>
                <w:color w:val="auto"/>
                <w:lang w:val="en-US" w:eastAsia="zh-CN"/>
              </w:rPr>
            </w:pPr>
            <w:r>
              <w:rPr>
                <w:rFonts w:hint="default"/>
                <w:color w:val="auto"/>
                <w:lang w:val="en-US" w:eastAsia="zh-CN"/>
              </w:rPr>
              <w:t>本项目学校建成后主要为</w:t>
            </w:r>
            <w:r>
              <w:rPr>
                <w:rFonts w:hint="eastAsia"/>
                <w:color w:val="auto"/>
                <w:lang w:val="en-US" w:eastAsia="zh-CN"/>
              </w:rPr>
              <w:t>高</w:t>
            </w:r>
            <w:r>
              <w:rPr>
                <w:rFonts w:hint="default"/>
                <w:color w:val="auto"/>
                <w:lang w:val="en-US" w:eastAsia="zh-CN"/>
              </w:rPr>
              <w:t xml:space="preserve">级中学教育。实验课涉及物理、化学、生物实验，固体废物主要产生于生物和化学实验室。 </w:t>
            </w:r>
          </w:p>
          <w:p>
            <w:pPr>
              <w:pStyle w:val="60"/>
              <w:bidi w:val="0"/>
              <w:rPr>
                <w:rFonts w:hint="default"/>
                <w:color w:val="auto"/>
                <w:lang w:val="en-US" w:eastAsia="zh-CN"/>
              </w:rPr>
            </w:pPr>
            <w:r>
              <w:rPr>
                <w:rFonts w:hint="eastAsia"/>
                <w:color w:val="auto"/>
                <w:lang w:val="en-US" w:eastAsia="zh-CN"/>
              </w:rPr>
              <w:t>物理实验室较为简单，产生的废物主要为废纸等，</w:t>
            </w:r>
            <w:r>
              <w:rPr>
                <w:rFonts w:hint="default"/>
                <w:color w:val="auto"/>
                <w:lang w:val="en-US" w:eastAsia="zh-CN"/>
              </w:rPr>
              <w:t xml:space="preserve">作为一般废物混入生活垃圾处理。 </w:t>
            </w:r>
          </w:p>
          <w:p>
            <w:pPr>
              <w:pStyle w:val="60"/>
              <w:bidi w:val="0"/>
              <w:rPr>
                <w:rFonts w:hint="default"/>
                <w:color w:val="auto"/>
                <w:lang w:val="en-US" w:eastAsia="zh-CN"/>
              </w:rPr>
            </w:pPr>
            <w:r>
              <w:rPr>
                <w:rFonts w:hint="default"/>
                <w:color w:val="auto"/>
                <w:lang w:val="en-US" w:eastAsia="zh-CN"/>
              </w:rPr>
              <w:t xml:space="preserve">生物实验较为简单，主要为认识性实验，采用高倍显微镜观察细胞等，实验过程中产生少量的植物碎片及玻璃片（载玻片、盖玻片），作为一般废物混入生活垃圾处理。 </w:t>
            </w:r>
          </w:p>
          <w:p>
            <w:pPr>
              <w:pStyle w:val="60"/>
              <w:bidi w:val="0"/>
              <w:rPr>
                <w:rFonts w:hint="default"/>
                <w:color w:val="auto"/>
                <w:lang w:val="en-US" w:eastAsia="zh-CN"/>
              </w:rPr>
            </w:pPr>
            <w:r>
              <w:rPr>
                <w:rFonts w:hint="default"/>
                <w:color w:val="auto"/>
                <w:lang w:val="en-US" w:eastAsia="zh-CN"/>
              </w:rPr>
              <w:t>化学实验室产生的废弃物主要为废液、废试剂瓶、破损的玻璃器皿等。玻璃器皿破损后将严格按照操作规程进行残液收集，清洗后当做一般固废混入生活垃圾处理。实验室废液、废试剂瓶等根据《国家危险废物名录》（2021版），属于危险废物</w:t>
            </w:r>
            <w:r>
              <w:rPr>
                <w:rFonts w:hint="eastAsia"/>
                <w:color w:val="auto"/>
                <w:lang w:val="en-US" w:eastAsia="zh-CN"/>
              </w:rPr>
              <w:t>，使用HDPE废液桶收集，暂存危废间内，定期</w:t>
            </w:r>
            <w:r>
              <w:rPr>
                <w:rFonts w:hint="default"/>
                <w:color w:val="auto"/>
                <w:lang w:val="en-US" w:eastAsia="zh-CN"/>
              </w:rPr>
              <w:t>交有资质的单位处置。</w:t>
            </w:r>
            <w:r>
              <w:rPr>
                <w:rFonts w:hint="eastAsia"/>
                <w:color w:val="auto"/>
                <w:lang w:val="en-US" w:eastAsia="zh-CN"/>
              </w:rPr>
              <w:t xml:space="preserve">    </w:t>
            </w:r>
            <w:r>
              <w:rPr>
                <w:rFonts w:hint="default" w:ascii="Calibri" w:hAnsi="Calibri" w:cs="Calibri"/>
                <w:color w:val="auto"/>
                <w:lang w:val="en-US" w:eastAsia="zh-CN"/>
              </w:rPr>
              <w:t>②</w:t>
            </w:r>
            <w:r>
              <w:rPr>
                <w:rFonts w:hint="default"/>
                <w:color w:val="auto"/>
                <w:lang w:val="en-US" w:eastAsia="zh-CN"/>
              </w:rPr>
              <w:t xml:space="preserve">生活垃圾 </w:t>
            </w:r>
          </w:p>
          <w:p>
            <w:pPr>
              <w:pStyle w:val="60"/>
              <w:bidi w:val="0"/>
              <w:rPr>
                <w:rFonts w:hint="default"/>
                <w:color w:val="auto"/>
                <w:lang w:val="en-US" w:eastAsia="zh-CN"/>
              </w:rPr>
            </w:pPr>
            <w:r>
              <w:rPr>
                <w:rFonts w:hint="default"/>
                <w:color w:val="auto"/>
                <w:lang w:val="en-US" w:eastAsia="zh-CN"/>
              </w:rPr>
              <w:t>项目共有师生约</w:t>
            </w:r>
            <w:r>
              <w:rPr>
                <w:rFonts w:hint="eastAsia"/>
                <w:color w:val="auto"/>
                <w:lang w:val="en-US" w:eastAsia="zh-CN"/>
              </w:rPr>
              <w:t>3078</w:t>
            </w:r>
            <w:r>
              <w:rPr>
                <w:rFonts w:hint="default"/>
                <w:color w:val="auto"/>
                <w:lang w:val="en-US" w:eastAsia="zh-CN"/>
              </w:rPr>
              <w:t xml:space="preserve">人，日常生活中产生生活垃圾。生活垃圾设垃圾箱、收集后全部由环卫部门统一清理。 </w:t>
            </w:r>
          </w:p>
          <w:p>
            <w:pPr>
              <w:pStyle w:val="60"/>
              <w:bidi w:val="0"/>
              <w:rPr>
                <w:rFonts w:hint="eastAsia"/>
                <w:color w:val="auto"/>
                <w:lang w:val="en-US" w:eastAsia="zh-CN"/>
              </w:rPr>
            </w:pPr>
            <w:r>
              <w:rPr>
                <w:rFonts w:hint="default" w:ascii="Calibri" w:hAnsi="Calibri" w:cs="Calibri"/>
                <w:color w:val="auto"/>
                <w:lang w:val="en-US" w:eastAsia="zh-CN"/>
              </w:rPr>
              <w:t>③</w:t>
            </w:r>
            <w:r>
              <w:rPr>
                <w:rFonts w:hint="eastAsia"/>
                <w:color w:val="auto"/>
                <w:lang w:val="en-US" w:eastAsia="zh-CN"/>
              </w:rPr>
              <w:t>离子交换树脂</w:t>
            </w:r>
          </w:p>
          <w:p>
            <w:pPr>
              <w:pStyle w:val="60"/>
              <w:bidi w:val="0"/>
              <w:rPr>
                <w:rFonts w:hint="default"/>
                <w:color w:val="auto"/>
                <w:lang w:val="en-US" w:eastAsia="zh-CN"/>
              </w:rPr>
            </w:pPr>
            <w:r>
              <w:rPr>
                <w:rFonts w:hint="default"/>
                <w:color w:val="auto"/>
                <w:lang w:val="en-US" w:eastAsia="zh-CN"/>
              </w:rPr>
              <w:t>锅炉房离子交换树脂的更换周期均为 1 次/</w:t>
            </w:r>
            <w:r>
              <w:rPr>
                <w:rFonts w:hint="eastAsia"/>
                <w:color w:val="auto"/>
                <w:lang w:val="en-US" w:eastAsia="zh-CN"/>
              </w:rPr>
              <w:t>2-3</w:t>
            </w:r>
            <w:r>
              <w:rPr>
                <w:rFonts w:hint="default"/>
                <w:color w:val="auto"/>
                <w:lang w:val="en-US" w:eastAsia="zh-CN"/>
              </w:rPr>
              <w:t>年，则年更换产生的废离子交换树脂量为0.</w:t>
            </w:r>
            <w:r>
              <w:rPr>
                <w:rFonts w:hint="eastAsia"/>
                <w:color w:val="auto"/>
                <w:lang w:val="en-US" w:eastAsia="zh-CN"/>
              </w:rPr>
              <w:t>1</w:t>
            </w:r>
            <w:r>
              <w:rPr>
                <w:rFonts w:hint="default"/>
                <w:color w:val="auto"/>
                <w:lang w:val="en-US" w:eastAsia="zh-CN"/>
              </w:rPr>
              <w:t>t/a，废离子交换树脂属于</w:t>
            </w:r>
            <w:r>
              <w:rPr>
                <w:rFonts w:hint="eastAsia"/>
                <w:color w:val="auto"/>
                <w:lang w:val="en-US" w:eastAsia="zh-CN"/>
              </w:rPr>
              <w:t>一般固废。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69" w:hRule="atLeast"/>
          <w:jc w:val="center"/>
        </w:trPr>
        <w:tc>
          <w:tcPr>
            <w:tcW w:w="475" w:type="dxa"/>
            <w:noWrap w:val="0"/>
            <w:vAlign w:val="center"/>
          </w:tcPr>
          <w:p>
            <w:pPr>
              <w:pStyle w:val="17"/>
              <w:keepNext/>
              <w:keepLines/>
              <w:pageBreakBefore w:val="0"/>
              <w:bidi w:val="0"/>
              <w:adjustRightInd w:val="0"/>
              <w:snapToGrid w:val="0"/>
              <w:spacing w:before="0" w:beforeAutospacing="0" w:after="0" w:afterAutospacing="0"/>
              <w:jc w:val="center"/>
              <w:rPr>
                <w:rFonts w:cs="宋体"/>
                <w:color w:val="auto"/>
                <w:sz w:val="21"/>
                <w:szCs w:val="21"/>
              </w:rPr>
            </w:pPr>
            <w:r>
              <w:rPr>
                <w:rFonts w:hint="eastAsia" w:cs="宋体"/>
                <w:bCs/>
                <w:color w:val="auto"/>
                <w:kern w:val="2"/>
                <w:sz w:val="21"/>
                <w:szCs w:val="21"/>
              </w:rPr>
              <w:t>与项目有关的原有环境污染问题</w:t>
            </w:r>
          </w:p>
        </w:tc>
        <w:tc>
          <w:tcPr>
            <w:tcW w:w="8599" w:type="dxa"/>
            <w:noWrap w:val="0"/>
            <w:vAlign w:val="top"/>
          </w:tcPr>
          <w:p>
            <w:pPr>
              <w:keepNext/>
              <w:keepLines/>
              <w:pageBreakBefore w:val="0"/>
              <w:bidi w:val="0"/>
              <w:spacing w:line="360" w:lineRule="auto"/>
              <w:ind w:firstLine="470" w:firstLineChars="196"/>
              <w:jc w:val="left"/>
              <w:rPr>
                <w:rFonts w:hint="eastAsia"/>
                <w:color w:val="auto"/>
              </w:rPr>
            </w:pPr>
            <w:r>
              <w:rPr>
                <w:rFonts w:hint="default"/>
                <w:color w:val="auto"/>
                <w:sz w:val="24"/>
                <w:szCs w:val="24"/>
              </w:rPr>
              <w:t>本项目为新建项目，经现场踏勘，</w:t>
            </w:r>
            <w:r>
              <w:rPr>
                <w:rFonts w:hint="default"/>
                <w:color w:val="auto"/>
                <w:sz w:val="24"/>
                <w:szCs w:val="24"/>
                <w:lang w:val="en-US" w:eastAsia="zh-CN"/>
              </w:rPr>
              <w:t>现状用地属性为教育设施用地</w:t>
            </w:r>
            <w:r>
              <w:rPr>
                <w:rFonts w:hint="eastAsia"/>
                <w:color w:val="auto"/>
                <w:sz w:val="24"/>
                <w:szCs w:val="24"/>
                <w:lang w:val="en-US" w:eastAsia="zh-CN"/>
              </w:rPr>
              <w:t>，</w:t>
            </w:r>
            <w:r>
              <w:rPr>
                <w:rFonts w:hint="default"/>
                <w:color w:val="auto"/>
                <w:sz w:val="24"/>
                <w:szCs w:val="24"/>
              </w:rPr>
              <w:t>项目区为空场地，无</w:t>
            </w:r>
            <w:r>
              <w:rPr>
                <w:rFonts w:hint="eastAsia"/>
                <w:color w:val="auto"/>
                <w:sz w:val="24"/>
                <w:szCs w:val="24"/>
                <w:lang w:val="en-US" w:eastAsia="zh-CN"/>
              </w:rPr>
              <w:t>其他</w:t>
            </w:r>
            <w:r>
              <w:rPr>
                <w:rFonts w:hint="default"/>
                <w:color w:val="auto"/>
                <w:sz w:val="24"/>
                <w:szCs w:val="24"/>
              </w:rPr>
              <w:t>原有污染情况及主要环境问题。</w:t>
            </w:r>
          </w:p>
        </w:tc>
      </w:tr>
    </w:tbl>
    <w:p>
      <w:pPr>
        <w:pStyle w:val="17"/>
        <w:keepNext/>
        <w:keepLines/>
        <w:pageBreakBefore w:val="0"/>
        <w:bidi w:val="0"/>
        <w:jc w:val="center"/>
        <w:rPr>
          <w:rFonts w:ascii="黑体" w:hAnsi="黑体" w:eastAsia="黑体"/>
          <w:snapToGrid w:val="0"/>
          <w:color w:val="auto"/>
          <w:sz w:val="36"/>
          <w:szCs w:val="36"/>
        </w:rPr>
        <w:sectPr>
          <w:pgSz w:w="11906" w:h="16838"/>
          <w:pgMar w:top="1701" w:right="1531" w:bottom="1701" w:left="1531" w:header="851" w:footer="850" w:gutter="0"/>
          <w:pgBorders>
            <w:top w:val="none" w:sz="0" w:space="0"/>
            <w:left w:val="none" w:sz="0" w:space="0"/>
            <w:bottom w:val="none" w:sz="0" w:space="0"/>
            <w:right w:val="none" w:sz="0" w:space="0"/>
          </w:pgBorders>
          <w:pgNumType w:fmt="decimal"/>
          <w:cols w:space="720" w:num="1"/>
          <w:rtlGutter w:val="0"/>
          <w:docGrid w:type="lines" w:linePitch="312" w:charSpace="0"/>
        </w:sectPr>
      </w:pPr>
    </w:p>
    <w:p>
      <w:pPr>
        <w:pStyle w:val="17"/>
        <w:keepNext/>
        <w:keepLines/>
        <w:pageBreakBefore w:val="0"/>
        <w:bidi w:val="0"/>
        <w:adjustRightInd w:val="0"/>
        <w:snapToGrid w:val="0"/>
        <w:spacing w:before="0" w:beforeAutospacing="0" w:after="0" w:afterAutospacing="0" w:line="14" w:lineRule="auto"/>
        <w:jc w:val="center"/>
        <w:outlineLvl w:val="0"/>
        <w:rPr>
          <w:rFonts w:hint="eastAsia" w:ascii="黑体" w:hAnsi="黑体" w:eastAsia="黑体"/>
          <w:snapToGrid w:val="0"/>
          <w:color w:val="auto"/>
          <w:sz w:val="30"/>
          <w:szCs w:val="30"/>
        </w:rPr>
      </w:pPr>
    </w:p>
    <w:p>
      <w:pPr>
        <w:pStyle w:val="17"/>
        <w:keepNext/>
        <w:keepLines/>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outlineLvl w:val="0"/>
        <w:rPr>
          <w:rFonts w:ascii="黑体" w:hAnsi="黑体" w:eastAsia="黑体"/>
          <w:snapToGrid w:val="0"/>
          <w:color w:val="auto"/>
          <w:sz w:val="30"/>
          <w:szCs w:val="30"/>
        </w:rPr>
      </w:pPr>
      <w:r>
        <w:rPr>
          <w:rFonts w:hint="eastAsia" w:ascii="黑体" w:hAnsi="黑体" w:eastAsia="黑体"/>
          <w:snapToGrid w:val="0"/>
          <w:color w:val="auto"/>
          <w:sz w:val="30"/>
          <w:szCs w:val="30"/>
        </w:rPr>
        <w:t>三、区域环境质量现状、环境保护目标及评价标准</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dxa"/>
            <w:noWrap w:val="0"/>
            <w:vAlign w:val="center"/>
          </w:tcPr>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区域</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环境</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质量</w:t>
            </w:r>
          </w:p>
          <w:p>
            <w:pPr>
              <w:keepNext/>
              <w:keepLines/>
              <w:pageBreakBefore w:val="0"/>
              <w:bidi w:val="0"/>
              <w:adjustRightInd w:val="0"/>
              <w:snapToGrid w:val="0"/>
              <w:jc w:val="center"/>
              <w:rPr>
                <w:rFonts w:ascii="宋体" w:hAnsi="宋体" w:cs="宋体"/>
                <w:color w:val="auto"/>
                <w:kern w:val="0"/>
                <w:szCs w:val="21"/>
              </w:rPr>
            </w:pPr>
            <w:r>
              <w:rPr>
                <w:rFonts w:hint="eastAsia" w:ascii="宋体" w:hAnsi="宋体" w:cs="宋体"/>
                <w:color w:val="auto"/>
                <w:kern w:val="0"/>
                <w:szCs w:val="21"/>
              </w:rPr>
              <w:t>现状</w:t>
            </w:r>
          </w:p>
        </w:tc>
        <w:tc>
          <w:tcPr>
            <w:tcW w:w="8190" w:type="dxa"/>
            <w:noWrap w:val="0"/>
            <w:vAlign w:val="center"/>
          </w:tcPr>
          <w:p>
            <w:pPr>
              <w:keepNext/>
              <w:keepLines/>
              <w:pageBreakBefore w:val="0"/>
              <w:bidi w:val="0"/>
              <w:spacing w:line="360" w:lineRule="auto"/>
              <w:rPr>
                <w:rFonts w:ascii="Times New Roman" w:hAnsi="Times New Roman" w:eastAsia="宋体" w:cs="Times New Roman"/>
                <w:b/>
                <w:bCs/>
                <w:color w:val="auto"/>
                <w:sz w:val="24"/>
              </w:rPr>
            </w:pPr>
            <w:r>
              <w:rPr>
                <w:rFonts w:ascii="Times New Roman" w:hAnsi="Times New Roman" w:eastAsia="宋体" w:cs="Times New Roman"/>
                <w:b/>
                <w:bCs/>
                <w:color w:val="auto"/>
                <w:sz w:val="24"/>
              </w:rPr>
              <w:t>建设项目所在地区域环境质量现状及主要环境问题（环境空气、地面水、地下水、声环境、生态环境等）：</w:t>
            </w:r>
          </w:p>
          <w:p>
            <w:pPr>
              <w:keepNext/>
              <w:keepLines/>
              <w:pageBreakBefore w:val="0"/>
              <w:bidi w:val="0"/>
              <w:spacing w:line="360" w:lineRule="auto"/>
              <w:ind w:firstLine="482" w:firstLineChars="200"/>
              <w:rPr>
                <w:b/>
                <w:color w:val="auto"/>
                <w:sz w:val="24"/>
              </w:rPr>
            </w:pPr>
            <w:r>
              <w:rPr>
                <w:rFonts w:hint="eastAsia"/>
                <w:b/>
                <w:color w:val="auto"/>
                <w:sz w:val="24"/>
              </w:rPr>
              <w:t>1、</w:t>
            </w:r>
            <w:r>
              <w:rPr>
                <w:rFonts w:hAnsi="宋体"/>
                <w:b/>
                <w:color w:val="auto"/>
                <w:sz w:val="24"/>
              </w:rPr>
              <w:t>大气环境质量现状及评价</w:t>
            </w:r>
          </w:p>
          <w:p>
            <w:pPr>
              <w:keepNext/>
              <w:keepLines/>
              <w:pageBreakBefore w:val="0"/>
              <w:wordWrap w:val="0"/>
              <w:topLinePunct/>
              <w:bidi w:val="0"/>
              <w:spacing w:line="360" w:lineRule="auto"/>
              <w:ind w:firstLine="480" w:firstLineChars="200"/>
              <w:rPr>
                <w:rFonts w:ascii="Times New Roman" w:hAnsi="Times New Roman" w:eastAsia="宋体" w:cs="Times New Roman"/>
                <w:color w:val="auto"/>
                <w:sz w:val="24"/>
                <w:lang w:val="en-US" w:eastAsia="zh-CN" w:bidi="ar-SA"/>
              </w:rPr>
            </w:pPr>
            <w:r>
              <w:rPr>
                <w:rFonts w:hint="eastAsia" w:cs="Times New Roman"/>
                <w:color w:val="auto"/>
                <w:sz w:val="24"/>
                <w:lang w:val="en-US" w:eastAsia="zh-CN" w:bidi="ar-SA"/>
              </w:rPr>
              <w:t>本项目位于海东市乐都区，</w:t>
            </w:r>
            <w:r>
              <w:rPr>
                <w:rFonts w:ascii="Times New Roman" w:hAnsi="Times New Roman" w:eastAsia="宋体" w:cs="Times New Roman"/>
                <w:color w:val="auto"/>
                <w:sz w:val="24"/>
                <w:lang w:val="en-US" w:eastAsia="zh-CN" w:bidi="ar-SA"/>
              </w:rPr>
              <w:t>属于二类功能区，执行《环境空气质量标准》（GB3095-2012及2018年修改单）中的二类标准限值。根据</w:t>
            </w:r>
            <w:r>
              <w:rPr>
                <w:rFonts w:hint="eastAsia" w:cs="Times New Roman"/>
                <w:color w:val="auto"/>
                <w:sz w:val="24"/>
                <w:lang w:val="en-US" w:eastAsia="zh-CN" w:bidi="ar-SA"/>
              </w:rPr>
              <w:t>青海省生态环境厅</w:t>
            </w:r>
            <w:r>
              <w:rPr>
                <w:rFonts w:ascii="Times New Roman" w:hAnsi="Times New Roman" w:eastAsia="宋体" w:cs="Times New Roman"/>
                <w:color w:val="auto"/>
                <w:sz w:val="24"/>
                <w:lang w:val="en-US" w:eastAsia="zh-CN" w:bidi="ar-SA"/>
              </w:rPr>
              <w:t>202</w:t>
            </w:r>
            <w:r>
              <w:rPr>
                <w:rFonts w:hint="eastAsia" w:cs="Times New Roman"/>
                <w:color w:val="auto"/>
                <w:sz w:val="24"/>
                <w:lang w:val="en-US" w:eastAsia="zh-CN" w:bidi="ar-SA"/>
              </w:rPr>
              <w:t>3</w:t>
            </w:r>
            <w:r>
              <w:rPr>
                <w:rFonts w:ascii="Times New Roman" w:hAnsi="Times New Roman" w:eastAsia="宋体" w:cs="Times New Roman"/>
                <w:color w:val="auto"/>
                <w:sz w:val="24"/>
                <w:lang w:val="en-US" w:eastAsia="zh-CN" w:bidi="ar-SA"/>
              </w:rPr>
              <w:t>年</w:t>
            </w:r>
            <w:r>
              <w:rPr>
                <w:rFonts w:hint="eastAsia" w:cs="Times New Roman"/>
                <w:color w:val="auto"/>
                <w:sz w:val="24"/>
                <w:lang w:val="en-US" w:eastAsia="zh-CN" w:bidi="ar-SA"/>
              </w:rPr>
              <w:t>6</w:t>
            </w:r>
            <w:r>
              <w:rPr>
                <w:rFonts w:ascii="Times New Roman" w:hAnsi="Times New Roman" w:eastAsia="宋体" w:cs="Times New Roman"/>
                <w:color w:val="auto"/>
                <w:sz w:val="24"/>
                <w:lang w:val="en-US" w:eastAsia="zh-CN" w:bidi="ar-SA"/>
              </w:rPr>
              <w:t>月</w:t>
            </w:r>
            <w:r>
              <w:rPr>
                <w:rFonts w:hint="eastAsia" w:cs="Times New Roman"/>
                <w:color w:val="auto"/>
                <w:sz w:val="24"/>
                <w:lang w:val="en-US" w:eastAsia="zh-CN" w:bidi="ar-SA"/>
              </w:rPr>
              <w:t>发布的《青海省2022生态环境状况公报》，海东市</w:t>
            </w:r>
            <w:r>
              <w:rPr>
                <w:rFonts w:ascii="Times New Roman" w:hAnsi="Times New Roman" w:eastAsia="宋体" w:cs="Times New Roman"/>
                <w:color w:val="auto"/>
                <w:sz w:val="24"/>
                <w:lang w:val="en-US" w:eastAsia="zh-CN" w:bidi="ar-SA"/>
              </w:rPr>
              <w:t>环境空气质量监测数据如下。</w:t>
            </w:r>
          </w:p>
          <w:p>
            <w:pPr>
              <w:keepNext/>
              <w:keepLines/>
              <w:pageBreakBefore w:val="0"/>
              <w:widowControl w:val="0"/>
              <w:numPr>
                <w:ilvl w:val="0"/>
                <w:numId w:val="0"/>
              </w:numPr>
              <w:bidi w:val="0"/>
              <w:spacing w:line="240" w:lineRule="auto"/>
              <w:ind w:left="0" w:firstLine="422" w:firstLineChars="200"/>
              <w:jc w:val="center"/>
              <w:rPr>
                <w:rFonts w:ascii="Times New Roman" w:hAnsi="Times New Roman" w:eastAsia="宋体" w:cs="Times New Roman"/>
                <w:b/>
                <w:color w:val="auto"/>
                <w:kern w:val="2"/>
                <w:sz w:val="21"/>
                <w:szCs w:val="21"/>
                <w:lang w:val="en-US" w:eastAsia="zh-CN" w:bidi="ar-SA"/>
              </w:rPr>
            </w:pPr>
            <w:r>
              <w:rPr>
                <w:rFonts w:ascii="Times New Roman" w:hAnsi="Times New Roman" w:eastAsia="宋体" w:cs="Times New Roman"/>
                <w:b/>
                <w:color w:val="auto"/>
                <w:kern w:val="2"/>
                <w:sz w:val="21"/>
                <w:szCs w:val="21"/>
                <w:lang w:val="en-US" w:eastAsia="zh-CN" w:bidi="ar-SA"/>
              </w:rPr>
              <w:t xml:space="preserve">表3-1 </w:t>
            </w:r>
            <w:r>
              <w:rPr>
                <w:rFonts w:hint="eastAsia" w:cs="Times New Roman"/>
                <w:b/>
                <w:color w:val="auto"/>
                <w:kern w:val="2"/>
                <w:sz w:val="21"/>
                <w:szCs w:val="21"/>
                <w:lang w:val="en-US" w:eastAsia="zh-CN" w:bidi="ar-SA"/>
              </w:rPr>
              <w:t>海东市</w:t>
            </w:r>
            <w:r>
              <w:rPr>
                <w:rFonts w:ascii="Times New Roman" w:hAnsi="Times New Roman" w:eastAsia="宋体" w:cs="Times New Roman"/>
                <w:b/>
                <w:color w:val="auto"/>
                <w:kern w:val="2"/>
                <w:sz w:val="21"/>
                <w:szCs w:val="21"/>
                <w:lang w:val="en-US" w:eastAsia="zh-CN" w:bidi="ar-SA"/>
              </w:rPr>
              <w:t>环境空气质量现状一览表</w:t>
            </w:r>
          </w:p>
          <w:tbl>
            <w:tblPr>
              <w:tblStyle w:val="21"/>
              <w:tblW w:w="797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35"/>
              <w:gridCol w:w="1187"/>
              <w:gridCol w:w="1187"/>
              <w:gridCol w:w="1187"/>
              <w:gridCol w:w="1238"/>
              <w:gridCol w:w="11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56" w:type="dxa"/>
                  <w:noWrap w:val="0"/>
                  <w:vAlign w:val="top"/>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项目</w:t>
                  </w:r>
                </w:p>
              </w:tc>
              <w:tc>
                <w:tcPr>
                  <w:tcW w:w="1235"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PM</w:t>
                  </w:r>
                  <w:r>
                    <w:rPr>
                      <w:rFonts w:ascii="Times New Roman" w:hAnsi="Times New Roman" w:eastAsia="宋体" w:cs="Times New Roman"/>
                      <w:b/>
                      <w:bCs/>
                      <w:color w:val="auto"/>
                      <w:sz w:val="21"/>
                      <w:vertAlign w:val="subscript"/>
                      <w:lang w:val="en-US" w:eastAsia="zh-CN" w:bidi="ar-SA"/>
                    </w:rPr>
                    <w:t>10</w:t>
                  </w:r>
                  <w:r>
                    <w:rPr>
                      <w:rFonts w:ascii="Times New Roman" w:hAnsi="Times New Roman" w:eastAsia="宋体" w:cs="Times New Roman"/>
                      <w:b/>
                      <w:bCs/>
                      <w:color w:val="auto"/>
                      <w:sz w:val="21"/>
                      <w:lang w:val="en-US" w:eastAsia="zh-CN" w:bidi="ar-SA"/>
                    </w:rPr>
                    <w:t>（μg/m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c>
                <w:tcPr>
                  <w:tcW w:w="1187"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PM</w:t>
                  </w:r>
                  <w:r>
                    <w:rPr>
                      <w:rFonts w:ascii="Times New Roman" w:hAnsi="Times New Roman" w:eastAsia="宋体" w:cs="Times New Roman"/>
                      <w:b/>
                      <w:bCs/>
                      <w:color w:val="auto"/>
                      <w:sz w:val="21"/>
                      <w:vertAlign w:val="subscript"/>
                      <w:lang w:val="en-US" w:eastAsia="zh-CN" w:bidi="ar-SA"/>
                    </w:rPr>
                    <w:t>2</w:t>
                  </w:r>
                  <w:r>
                    <w:rPr>
                      <w:rFonts w:hint="default" w:ascii="Times New Roman" w:hAnsi="Times New Roman" w:eastAsia="宋体" w:cs="Times New Roman"/>
                      <w:b/>
                      <w:bCs/>
                      <w:color w:val="auto"/>
                      <w:sz w:val="21"/>
                      <w:vertAlign w:val="subscript"/>
                      <w:lang w:val="en-US" w:eastAsia="zh-CN" w:bidi="ar-SA"/>
                    </w:rPr>
                    <w:t>.5</w:t>
                  </w:r>
                  <w:r>
                    <w:rPr>
                      <w:rFonts w:ascii="Times New Roman" w:hAnsi="Times New Roman" w:eastAsia="宋体" w:cs="Times New Roman"/>
                      <w:b/>
                      <w:bCs/>
                      <w:color w:val="auto"/>
                      <w:sz w:val="21"/>
                      <w:lang w:val="en-US" w:eastAsia="zh-CN" w:bidi="ar-SA"/>
                    </w:rPr>
                    <w:t>（μg/m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c>
                <w:tcPr>
                  <w:tcW w:w="1187"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SO</w:t>
                  </w:r>
                  <w:r>
                    <w:rPr>
                      <w:rFonts w:hint="eastAsia" w:ascii="Times New Roman" w:hAnsi="Times New Roman" w:eastAsia="宋体" w:cs="Times New Roman"/>
                      <w:b/>
                      <w:bCs/>
                      <w:color w:val="auto"/>
                      <w:sz w:val="21"/>
                      <w:vertAlign w:val="subscript"/>
                      <w:lang w:val="en-US" w:eastAsia="zh-CN" w:bidi="ar-SA"/>
                    </w:rPr>
                    <w:t>2</w:t>
                  </w:r>
                  <w:r>
                    <w:rPr>
                      <w:rFonts w:ascii="Times New Roman" w:hAnsi="Times New Roman" w:eastAsia="宋体" w:cs="Times New Roman"/>
                      <w:b/>
                      <w:bCs/>
                      <w:color w:val="auto"/>
                      <w:sz w:val="21"/>
                      <w:lang w:val="en-US" w:eastAsia="zh-CN" w:bidi="ar-SA"/>
                    </w:rPr>
                    <w:t>（μg/m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c>
                <w:tcPr>
                  <w:tcW w:w="1187"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NO</w:t>
                  </w:r>
                  <w:r>
                    <w:rPr>
                      <w:rFonts w:ascii="Times New Roman" w:hAnsi="Times New Roman" w:eastAsia="宋体" w:cs="Times New Roman"/>
                      <w:b/>
                      <w:bCs/>
                      <w:color w:val="auto"/>
                      <w:sz w:val="21"/>
                      <w:vertAlign w:val="subscript"/>
                      <w:lang w:val="en-US" w:eastAsia="zh-CN" w:bidi="ar-SA"/>
                    </w:rPr>
                    <w:t>2</w:t>
                  </w:r>
                  <w:r>
                    <w:rPr>
                      <w:rFonts w:ascii="Times New Roman" w:hAnsi="Times New Roman" w:eastAsia="宋体" w:cs="Times New Roman"/>
                      <w:b/>
                      <w:bCs/>
                      <w:color w:val="auto"/>
                      <w:sz w:val="21"/>
                      <w:lang w:val="en-US" w:eastAsia="zh-CN" w:bidi="ar-SA"/>
                    </w:rPr>
                    <w:t>（μg/m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c>
                <w:tcPr>
                  <w:tcW w:w="1238"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CO（mg/m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c>
                <w:tcPr>
                  <w:tcW w:w="1187" w:type="dxa"/>
                  <w:noWrap w:val="0"/>
                  <w:vAlign w:val="center"/>
                </w:tcPr>
                <w:p>
                  <w:pPr>
                    <w:keepNext/>
                    <w:keepLines/>
                    <w:pageBreakBefore w:val="0"/>
                    <w:bidi w:val="0"/>
                    <w:jc w:val="center"/>
                    <w:rPr>
                      <w:rFonts w:ascii="Times New Roman" w:hAnsi="Times New Roman" w:eastAsia="宋体" w:cs="Times New Roman"/>
                      <w:b/>
                      <w:bCs/>
                      <w:color w:val="auto"/>
                      <w:sz w:val="21"/>
                      <w:lang w:val="en-US" w:eastAsia="zh-CN" w:bidi="ar-SA"/>
                    </w:rPr>
                  </w:pPr>
                  <w:r>
                    <w:rPr>
                      <w:rFonts w:ascii="Times New Roman" w:hAnsi="Times New Roman" w:eastAsia="宋体" w:cs="Times New Roman"/>
                      <w:b/>
                      <w:bCs/>
                      <w:color w:val="auto"/>
                      <w:sz w:val="21"/>
                      <w:lang w:val="en-US" w:eastAsia="zh-CN" w:bidi="ar-SA"/>
                    </w:rPr>
                    <w:t>O</w:t>
                  </w:r>
                  <w:r>
                    <w:rPr>
                      <w:rFonts w:ascii="Times New Roman" w:hAnsi="Times New Roman" w:eastAsia="宋体" w:cs="Times New Roman"/>
                      <w:b/>
                      <w:bCs/>
                      <w:color w:val="auto"/>
                      <w:sz w:val="21"/>
                      <w:vertAlign w:val="subscript"/>
                      <w:lang w:val="en-US" w:eastAsia="zh-CN" w:bidi="ar-SA"/>
                    </w:rPr>
                    <w:t>3</w:t>
                  </w:r>
                  <w:r>
                    <w:rPr>
                      <w:rFonts w:ascii="Times New Roman" w:hAnsi="Times New Roman" w:eastAsia="宋体" w:cs="Times New Roman"/>
                      <w:b/>
                      <w:bCs/>
                      <w:color w:val="auto"/>
                      <w:sz w:val="21"/>
                      <w:lang w:val="en-US" w:eastAsia="zh-CN" w:bidi="ar-SA"/>
                    </w:rPr>
                    <w:t>（μg/m</w:t>
                  </w:r>
                  <w:r>
                    <w:rPr>
                      <w:rFonts w:ascii="Times New Roman" w:hAnsi="Times New Roman" w:eastAsia="宋体" w:cs="Times New Roman"/>
                      <w:b/>
                      <w:bCs/>
                      <w:color w:val="auto"/>
                      <w:sz w:val="21"/>
                      <w:vertAlign w:val="superscript"/>
                      <w:lang w:val="en-US" w:eastAsia="zh-CN" w:bidi="ar-SA"/>
                    </w:rPr>
                    <w:t>3</w:t>
                  </w:r>
                  <w:r>
                    <w:rPr>
                      <w:rFonts w:ascii="Times New Roman" w:hAnsi="Times New Roman" w:eastAsia="宋体" w:cs="Times New Roman"/>
                      <w:b/>
                      <w:bCs/>
                      <w:color w:val="auto"/>
                      <w:sz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56"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年平均值</w:t>
                  </w:r>
                </w:p>
              </w:tc>
              <w:tc>
                <w:tcPr>
                  <w:tcW w:w="1235"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56</w:t>
                  </w:r>
                </w:p>
              </w:tc>
              <w:tc>
                <w:tcPr>
                  <w:tcW w:w="1187"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31</w:t>
                  </w:r>
                </w:p>
              </w:tc>
              <w:tc>
                <w:tcPr>
                  <w:tcW w:w="1187"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13</w:t>
                  </w:r>
                </w:p>
              </w:tc>
              <w:tc>
                <w:tcPr>
                  <w:tcW w:w="1187"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19</w:t>
                  </w:r>
                </w:p>
              </w:tc>
              <w:tc>
                <w:tcPr>
                  <w:tcW w:w="1238"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1.1</w:t>
                  </w:r>
                </w:p>
              </w:tc>
              <w:tc>
                <w:tcPr>
                  <w:tcW w:w="1187" w:type="dxa"/>
                  <w:noWrap w:val="0"/>
                  <w:vAlign w:val="center"/>
                </w:tcPr>
                <w:p>
                  <w:pPr>
                    <w:keepNext/>
                    <w:keepLines/>
                    <w:pageBreakBefore w:val="0"/>
                    <w:bidi w:val="0"/>
                    <w:jc w:val="center"/>
                    <w:rPr>
                      <w:rFonts w:hint="default" w:ascii="Times New Roman" w:hAnsi="Times New Roman" w:eastAsia="宋体" w:cs="Times New Roman"/>
                      <w:color w:val="auto"/>
                      <w:sz w:val="21"/>
                      <w:lang w:val="en-US" w:eastAsia="zh-CN" w:bidi="ar-SA"/>
                    </w:rPr>
                  </w:pPr>
                  <w:r>
                    <w:rPr>
                      <w:rFonts w:hint="eastAsia" w:cs="Times New Roman"/>
                      <w:color w:val="auto"/>
                      <w:sz w:val="21"/>
                      <w:lang w:val="en-US" w:eastAsia="zh-CN" w:bidi="ar-SA"/>
                    </w:rPr>
                    <w:t>140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56"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标准限值</w:t>
                  </w:r>
                </w:p>
              </w:tc>
              <w:tc>
                <w:tcPr>
                  <w:tcW w:w="1235"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70</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35</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60</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40</w:t>
                  </w:r>
                </w:p>
              </w:tc>
              <w:tc>
                <w:tcPr>
                  <w:tcW w:w="1238"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4.0</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160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56"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达标情况</w:t>
                  </w:r>
                </w:p>
              </w:tc>
              <w:tc>
                <w:tcPr>
                  <w:tcW w:w="1235"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c>
                <w:tcPr>
                  <w:tcW w:w="1238"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c>
                <w:tcPr>
                  <w:tcW w:w="1187" w:type="dxa"/>
                  <w:noWrap w:val="0"/>
                  <w:vAlign w:val="center"/>
                </w:tcPr>
                <w:p>
                  <w:pPr>
                    <w:keepNext/>
                    <w:keepLines/>
                    <w:pageBreakBefore w:val="0"/>
                    <w:bidi w:val="0"/>
                    <w:jc w:val="center"/>
                    <w:rPr>
                      <w:rFonts w:ascii="Times New Roman" w:hAnsi="Times New Roman" w:eastAsia="宋体" w:cs="Times New Roman"/>
                      <w:color w:val="auto"/>
                      <w:sz w:val="21"/>
                      <w:lang w:val="en-US" w:eastAsia="zh-CN" w:bidi="ar-SA"/>
                    </w:rPr>
                  </w:pPr>
                  <w:r>
                    <w:rPr>
                      <w:rFonts w:ascii="Times New Roman" w:hAnsi="Times New Roman" w:eastAsia="宋体" w:cs="Times New Roman"/>
                      <w:color w:val="auto"/>
                      <w:sz w:val="21"/>
                      <w:lang w:val="en-US" w:eastAsia="zh-CN" w:bidi="ar-SA"/>
                    </w:rPr>
                    <w:t>达标</w:t>
                  </w:r>
                </w:p>
              </w:tc>
            </w:tr>
          </w:tbl>
          <w:p>
            <w:pPr>
              <w:keepNext/>
              <w:keepLines/>
              <w:pageBreakBefore w:val="0"/>
              <w:widowControl w:val="0"/>
              <w:bidi w:val="0"/>
              <w:spacing w:after="0" w:line="360" w:lineRule="auto"/>
              <w:ind w:left="0" w:leftChars="0" w:firstLine="480" w:firstLineChars="200"/>
              <w:jc w:val="both"/>
              <w:rPr>
                <w:rFonts w:ascii="Times New Roman" w:hAnsi="Times New Roman" w:eastAsia="宋体" w:cs="Times New Roman"/>
                <w:color w:val="auto"/>
                <w:kern w:val="0"/>
                <w:sz w:val="24"/>
                <w:szCs w:val="20"/>
                <w:lang w:val="en-US" w:eastAsia="zh-CN" w:bidi="ar-SA"/>
              </w:rPr>
            </w:pPr>
            <w:r>
              <w:rPr>
                <w:rFonts w:ascii="Times New Roman" w:hAnsi="Times New Roman" w:eastAsia="宋体" w:cs="Times New Roman"/>
                <w:color w:val="auto"/>
                <w:kern w:val="0"/>
                <w:sz w:val="24"/>
                <w:szCs w:val="20"/>
                <w:lang w:val="en-US" w:eastAsia="zh-CN" w:bidi="ar-SA"/>
              </w:rPr>
              <w:t>综上可知，项目所在区</w:t>
            </w:r>
            <w:r>
              <w:rPr>
                <w:rFonts w:hint="eastAsia" w:ascii="Times New Roman" w:hAnsi="Times New Roman" w:eastAsia="宋体" w:cs="Times New Roman"/>
                <w:color w:val="auto"/>
                <w:kern w:val="0"/>
                <w:sz w:val="24"/>
                <w:szCs w:val="20"/>
                <w:lang w:val="en-US" w:eastAsia="zh-CN" w:bidi="ar-SA"/>
              </w:rPr>
              <w:t>年均</w:t>
            </w:r>
            <w:r>
              <w:rPr>
                <w:rFonts w:ascii="Times New Roman" w:hAnsi="Times New Roman" w:eastAsia="宋体" w:cs="Times New Roman"/>
                <w:color w:val="auto"/>
                <w:kern w:val="0"/>
                <w:sz w:val="24"/>
                <w:szCs w:val="20"/>
                <w:lang w:val="en-US" w:eastAsia="zh-CN" w:bidi="ar-SA"/>
              </w:rPr>
              <w:t>SO</w:t>
            </w:r>
            <w:r>
              <w:rPr>
                <w:rFonts w:ascii="Times New Roman" w:hAnsi="Times New Roman" w:eastAsia="宋体" w:cs="Times New Roman"/>
                <w:color w:val="auto"/>
                <w:kern w:val="0"/>
                <w:sz w:val="24"/>
                <w:szCs w:val="20"/>
                <w:vertAlign w:val="subscript"/>
                <w:lang w:val="en-US" w:eastAsia="zh-CN" w:bidi="ar-SA"/>
              </w:rPr>
              <w:t>2</w:t>
            </w:r>
            <w:r>
              <w:rPr>
                <w:rFonts w:ascii="Times New Roman" w:hAnsi="Times New Roman" w:eastAsia="宋体" w:cs="Times New Roman"/>
                <w:color w:val="auto"/>
                <w:kern w:val="0"/>
                <w:sz w:val="24"/>
                <w:szCs w:val="20"/>
                <w:lang w:val="en-US" w:eastAsia="zh-CN" w:bidi="ar-SA"/>
              </w:rPr>
              <w:t>、NO</w:t>
            </w:r>
            <w:r>
              <w:rPr>
                <w:rFonts w:ascii="Times New Roman" w:hAnsi="Times New Roman" w:eastAsia="宋体" w:cs="Times New Roman"/>
                <w:color w:val="auto"/>
                <w:kern w:val="0"/>
                <w:sz w:val="24"/>
                <w:szCs w:val="20"/>
                <w:vertAlign w:val="subscript"/>
                <w:lang w:val="en-US" w:eastAsia="zh-CN" w:bidi="ar-SA"/>
              </w:rPr>
              <w:t>2</w:t>
            </w:r>
            <w:r>
              <w:rPr>
                <w:rFonts w:ascii="Times New Roman" w:hAnsi="Times New Roman" w:eastAsia="宋体" w:cs="Times New Roman"/>
                <w:color w:val="auto"/>
                <w:kern w:val="0"/>
                <w:sz w:val="24"/>
                <w:szCs w:val="20"/>
                <w:lang w:val="en-US" w:eastAsia="zh-CN" w:bidi="ar-SA"/>
              </w:rPr>
              <w:t>、PM</w:t>
            </w:r>
            <w:r>
              <w:rPr>
                <w:rFonts w:ascii="Times New Roman" w:hAnsi="Times New Roman" w:eastAsia="宋体" w:cs="Times New Roman"/>
                <w:color w:val="auto"/>
                <w:kern w:val="0"/>
                <w:sz w:val="24"/>
                <w:szCs w:val="20"/>
                <w:vertAlign w:val="subscript"/>
                <w:lang w:val="en-US" w:eastAsia="zh-CN" w:bidi="ar-SA"/>
              </w:rPr>
              <w:t>10</w:t>
            </w:r>
            <w:r>
              <w:rPr>
                <w:rFonts w:ascii="Times New Roman" w:hAnsi="Times New Roman" w:eastAsia="宋体" w:cs="Times New Roman"/>
                <w:color w:val="auto"/>
                <w:kern w:val="0"/>
                <w:sz w:val="24"/>
                <w:szCs w:val="20"/>
                <w:lang w:val="en-US" w:eastAsia="zh-CN" w:bidi="ar-SA"/>
              </w:rPr>
              <w:t>、PM</w:t>
            </w:r>
            <w:r>
              <w:rPr>
                <w:rFonts w:ascii="Times New Roman" w:hAnsi="Times New Roman" w:eastAsia="宋体" w:cs="Times New Roman"/>
                <w:color w:val="auto"/>
                <w:kern w:val="0"/>
                <w:sz w:val="24"/>
                <w:szCs w:val="20"/>
                <w:vertAlign w:val="subscript"/>
                <w:lang w:val="en-US" w:eastAsia="zh-CN" w:bidi="ar-SA"/>
              </w:rPr>
              <w:t>2.5</w:t>
            </w:r>
            <w:r>
              <w:rPr>
                <w:rFonts w:ascii="Times New Roman" w:hAnsi="Times New Roman" w:eastAsia="宋体" w:cs="Times New Roman"/>
                <w:color w:val="auto"/>
                <w:kern w:val="0"/>
                <w:sz w:val="24"/>
                <w:szCs w:val="20"/>
                <w:lang w:val="en-US" w:eastAsia="zh-CN" w:bidi="ar-SA"/>
              </w:rPr>
              <w:t>、CO和O</w:t>
            </w:r>
            <w:r>
              <w:rPr>
                <w:rFonts w:ascii="Times New Roman" w:hAnsi="Times New Roman" w:eastAsia="宋体" w:cs="Times New Roman"/>
                <w:color w:val="auto"/>
                <w:kern w:val="0"/>
                <w:sz w:val="24"/>
                <w:szCs w:val="20"/>
                <w:vertAlign w:val="subscript"/>
                <w:lang w:val="en-US" w:eastAsia="zh-CN" w:bidi="ar-SA"/>
              </w:rPr>
              <w:t>3</w:t>
            </w:r>
            <w:r>
              <w:rPr>
                <w:rFonts w:ascii="Times New Roman" w:hAnsi="Times New Roman" w:eastAsia="宋体" w:cs="Times New Roman"/>
                <w:color w:val="auto"/>
                <w:kern w:val="0"/>
                <w:sz w:val="24"/>
                <w:szCs w:val="20"/>
                <w:lang w:val="en-US" w:eastAsia="zh-CN" w:bidi="ar-SA"/>
              </w:rPr>
              <w:t>浓度均达标，因此项目所在区判定为达标区。</w:t>
            </w:r>
          </w:p>
          <w:p>
            <w:pPr>
              <w:keepNext/>
              <w:keepLines/>
              <w:pageBreakBefore w:val="0"/>
              <w:bidi w:val="0"/>
              <w:spacing w:line="360" w:lineRule="auto"/>
              <w:ind w:firstLine="482" w:firstLineChars="200"/>
              <w:rPr>
                <w:rFonts w:hAnsi="宋体"/>
                <w:b/>
                <w:color w:val="auto"/>
                <w:sz w:val="24"/>
              </w:rPr>
            </w:pPr>
            <w:r>
              <w:rPr>
                <w:rFonts w:hAnsi="宋体"/>
                <w:b/>
                <w:color w:val="auto"/>
                <w:sz w:val="24"/>
              </w:rPr>
              <w:t>2、地表水</w:t>
            </w:r>
            <w:r>
              <w:rPr>
                <w:rFonts w:hint="eastAsia" w:hAnsi="宋体"/>
                <w:b/>
                <w:color w:val="auto"/>
                <w:sz w:val="24"/>
              </w:rPr>
              <w:t>环境质量现状及评价</w:t>
            </w:r>
          </w:p>
          <w:p>
            <w:pPr>
              <w:pStyle w:val="51"/>
              <w:keepNext/>
              <w:keepLines/>
              <w:pageBreakBefore w:val="0"/>
              <w:bidi w:val="0"/>
              <w:ind w:firstLine="480"/>
              <w:rPr>
                <w:rFonts w:hint="eastAsia" w:ascii="Times New Roman"/>
                <w:color w:val="auto"/>
                <w:szCs w:val="24"/>
                <w:lang w:val="en-US" w:eastAsia="zh-CN"/>
              </w:rPr>
            </w:pPr>
            <w:r>
              <w:rPr>
                <w:rFonts w:hint="eastAsia" w:ascii="Times New Roman"/>
                <w:color w:val="auto"/>
                <w:szCs w:val="24"/>
                <w:lang w:eastAsia="zh-CN"/>
              </w:rPr>
              <w:t>评价区涉及</w:t>
            </w:r>
            <w:r>
              <w:rPr>
                <w:rFonts w:hint="eastAsia"/>
                <w:color w:val="auto"/>
                <w:szCs w:val="24"/>
                <w:lang w:val="en-US" w:eastAsia="zh-CN"/>
              </w:rPr>
              <w:t>最近</w:t>
            </w:r>
            <w:r>
              <w:rPr>
                <w:rFonts w:hint="eastAsia" w:ascii="Times New Roman"/>
                <w:color w:val="auto"/>
                <w:szCs w:val="24"/>
                <w:lang w:eastAsia="zh-CN"/>
              </w:rPr>
              <w:t>地表径流为</w:t>
            </w:r>
            <w:r>
              <w:rPr>
                <w:rFonts w:hint="eastAsia"/>
                <w:color w:val="auto"/>
                <w:szCs w:val="24"/>
                <w:lang w:val="en-US" w:eastAsia="zh-CN"/>
              </w:rPr>
              <w:t>湟水河</w:t>
            </w:r>
            <w:r>
              <w:rPr>
                <w:rFonts w:hint="eastAsia" w:ascii="Times New Roman"/>
                <w:color w:val="auto"/>
                <w:szCs w:val="24"/>
                <w:lang w:eastAsia="zh-CN"/>
              </w:rPr>
              <w:t>，根据《青海省水</w:t>
            </w:r>
            <w:r>
              <w:rPr>
                <w:rFonts w:hint="eastAsia"/>
                <w:color w:val="auto"/>
                <w:szCs w:val="24"/>
                <w:lang w:val="en-US" w:eastAsia="zh-CN"/>
              </w:rPr>
              <w:t>环境</w:t>
            </w:r>
            <w:r>
              <w:rPr>
                <w:rFonts w:hint="eastAsia" w:ascii="Times New Roman"/>
                <w:color w:val="auto"/>
                <w:szCs w:val="24"/>
                <w:lang w:eastAsia="zh-CN"/>
              </w:rPr>
              <w:t>功能区划》，平安与乐都界-乐都与民和界，</w:t>
            </w:r>
            <w:r>
              <w:rPr>
                <w:rFonts w:hint="eastAsia"/>
                <w:color w:val="auto"/>
                <w:szCs w:val="24"/>
                <w:lang w:val="en-US" w:eastAsia="zh-CN"/>
              </w:rPr>
              <w:t>为景观娱乐用水区，</w:t>
            </w:r>
            <w:r>
              <w:rPr>
                <w:rFonts w:hint="eastAsia" w:ascii="Times New Roman"/>
                <w:color w:val="auto"/>
                <w:szCs w:val="24"/>
                <w:lang w:eastAsia="zh-CN"/>
              </w:rPr>
              <w:t>该区域水</w:t>
            </w:r>
            <w:r>
              <w:rPr>
                <w:rFonts w:hint="eastAsia"/>
                <w:color w:val="auto"/>
                <w:szCs w:val="24"/>
                <w:lang w:val="en-US" w:eastAsia="zh-CN"/>
              </w:rPr>
              <w:t>环境</w:t>
            </w:r>
            <w:r>
              <w:rPr>
                <w:rFonts w:hint="eastAsia" w:ascii="Times New Roman"/>
                <w:color w:val="auto"/>
                <w:szCs w:val="24"/>
                <w:lang w:eastAsia="zh-CN"/>
              </w:rPr>
              <w:t>功能区为</w:t>
            </w:r>
            <w:r>
              <w:rPr>
                <w:rFonts w:hint="eastAsia" w:ascii="宋体" w:hAnsi="宋体" w:eastAsia="宋体" w:cs="宋体"/>
                <w:color w:val="auto"/>
                <w:szCs w:val="24"/>
                <w:lang w:eastAsia="zh-CN"/>
              </w:rPr>
              <w:t>Ⅳ</w:t>
            </w:r>
            <w:r>
              <w:rPr>
                <w:rFonts w:hint="eastAsia" w:ascii="Times New Roman"/>
                <w:color w:val="auto"/>
                <w:szCs w:val="24"/>
                <w:lang w:eastAsia="zh-CN"/>
              </w:rPr>
              <w:t>类，执行《地表水环境质量标准》（GB3838-2002）中的</w:t>
            </w:r>
            <w:r>
              <w:rPr>
                <w:rFonts w:hint="eastAsia" w:ascii="宋体" w:hAnsi="宋体" w:eastAsia="宋体" w:cs="宋体"/>
                <w:color w:val="auto"/>
                <w:szCs w:val="24"/>
                <w:lang w:eastAsia="zh-CN"/>
              </w:rPr>
              <w:t>Ⅳ</w:t>
            </w:r>
            <w:r>
              <w:rPr>
                <w:rFonts w:hint="eastAsia" w:ascii="Times New Roman"/>
                <w:color w:val="auto"/>
                <w:szCs w:val="24"/>
                <w:lang w:eastAsia="zh-CN"/>
              </w:rPr>
              <w:t>类水质标准限值。评价区水</w:t>
            </w:r>
            <w:r>
              <w:rPr>
                <w:rFonts w:hint="eastAsia"/>
                <w:color w:val="auto"/>
                <w:szCs w:val="24"/>
                <w:lang w:val="en-US" w:eastAsia="zh-CN"/>
              </w:rPr>
              <w:t>环境</w:t>
            </w:r>
            <w:r>
              <w:rPr>
                <w:rFonts w:hint="eastAsia" w:ascii="Times New Roman"/>
                <w:color w:val="auto"/>
                <w:szCs w:val="24"/>
                <w:lang w:eastAsia="zh-CN"/>
              </w:rPr>
              <w:t>质量现状引用</w:t>
            </w:r>
            <w:r>
              <w:rPr>
                <w:rFonts w:hint="eastAsia" w:cs="Times New Roman"/>
                <w:color w:val="auto"/>
                <w:sz w:val="24"/>
                <w:lang w:val="en-US" w:eastAsia="zh-CN" w:bidi="ar-SA"/>
              </w:rPr>
              <w:t>《青海省2022生态环境状况公报》中2022年湟水流域水质状况示意图</w:t>
            </w:r>
            <w:r>
              <w:rPr>
                <w:rFonts w:hint="eastAsia"/>
                <w:color w:val="auto"/>
                <w:szCs w:val="24"/>
                <w:lang w:val="en-US" w:eastAsia="zh-CN"/>
              </w:rPr>
              <w:t>，具体见下图</w:t>
            </w:r>
            <w:r>
              <w:rPr>
                <w:rFonts w:hint="eastAsia" w:ascii="Times New Roman"/>
                <w:color w:val="auto"/>
                <w:szCs w:val="24"/>
                <w:lang w:val="en-US" w:eastAsia="zh-CN"/>
              </w:rPr>
              <w:t>。</w:t>
            </w:r>
          </w:p>
          <w:p>
            <w:pPr>
              <w:pStyle w:val="51"/>
              <w:keepNext/>
              <w:keepLines/>
              <w:pageBreakBefore w:val="0"/>
              <w:bidi w:val="0"/>
              <w:ind w:left="0" w:leftChars="0" w:right="0" w:rightChars="0" w:firstLine="0" w:firstLineChars="0"/>
              <w:jc w:val="center"/>
              <w:rPr>
                <w:rFonts w:hint="eastAsia" w:ascii="Times New Roman"/>
                <w:color w:val="auto"/>
                <w:szCs w:val="24"/>
                <w:lang w:val="en-US" w:eastAsia="zh-CN"/>
              </w:rPr>
            </w:pPr>
            <w:r>
              <w:drawing>
                <wp:inline distT="0" distB="0" distL="114300" distR="114300">
                  <wp:extent cx="5062220" cy="3804285"/>
                  <wp:effectExtent l="0" t="0" r="508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5062220" cy="3804285"/>
                          </a:xfrm>
                          <a:prstGeom prst="rect">
                            <a:avLst/>
                          </a:prstGeom>
                          <a:noFill/>
                          <a:ln>
                            <a:noFill/>
                          </a:ln>
                        </pic:spPr>
                      </pic:pic>
                    </a:graphicData>
                  </a:graphic>
                </wp:inline>
              </w:drawing>
            </w:r>
          </w:p>
          <w:p>
            <w:pPr>
              <w:pStyle w:val="51"/>
              <w:keepNext/>
              <w:keepLines/>
              <w:pageBreakBefore w:val="0"/>
              <w:bidi w:val="0"/>
              <w:ind w:left="0" w:leftChars="0" w:right="0" w:rightChars="0" w:firstLine="0" w:firstLineChars="0"/>
              <w:jc w:val="center"/>
              <w:rPr>
                <w:rFonts w:hint="eastAsia" w:hAnsi="宋体"/>
                <w:b/>
                <w:bCs/>
                <w:color w:val="auto"/>
                <w:sz w:val="24"/>
                <w:lang w:val="en-US" w:eastAsia="zh-CN"/>
              </w:rPr>
            </w:pPr>
            <w:r>
              <w:rPr>
                <w:rFonts w:hint="eastAsia"/>
                <w:b/>
                <w:bCs/>
                <w:color w:val="auto"/>
                <w:szCs w:val="24"/>
                <w:lang w:val="en-US" w:eastAsia="zh-CN"/>
              </w:rPr>
              <w:t xml:space="preserve">图3-1 </w:t>
            </w:r>
            <w:r>
              <w:rPr>
                <w:rFonts w:hint="eastAsia" w:ascii="Times New Roman"/>
                <w:b/>
                <w:bCs/>
                <w:color w:val="auto"/>
                <w:szCs w:val="24"/>
                <w:lang w:val="en-US" w:eastAsia="zh-CN"/>
              </w:rPr>
              <w:t>2022年</w:t>
            </w:r>
            <w:r>
              <w:rPr>
                <w:rFonts w:hint="eastAsia"/>
                <w:b/>
                <w:bCs/>
                <w:color w:val="auto"/>
                <w:szCs w:val="24"/>
                <w:lang w:val="en-US" w:eastAsia="zh-CN"/>
              </w:rPr>
              <w:t>湟水河流域</w:t>
            </w:r>
            <w:r>
              <w:rPr>
                <w:rFonts w:hint="eastAsia" w:cs="Times New Roman"/>
                <w:b/>
                <w:bCs/>
                <w:color w:val="auto"/>
                <w:sz w:val="24"/>
                <w:lang w:val="en-US" w:eastAsia="zh-CN" w:bidi="ar-SA"/>
              </w:rPr>
              <w:t>水质状况示意图</w:t>
            </w:r>
          </w:p>
          <w:p>
            <w:pPr>
              <w:pStyle w:val="60"/>
              <w:bidi w:val="0"/>
              <w:rPr>
                <w:rFonts w:hint="eastAsia" w:hAnsi="宋体"/>
                <w:b/>
                <w:color w:val="auto"/>
                <w:lang w:val="en-US" w:eastAsia="zh-CN"/>
              </w:rPr>
            </w:pPr>
            <w:r>
              <w:rPr>
                <w:rFonts w:hint="eastAsia"/>
                <w:color w:val="auto"/>
                <w:lang w:val="en-US" w:eastAsia="zh-CN"/>
              </w:rPr>
              <w:t>由上图可知：项目区湟水河现状水质为Ⅲ类，满足《地表水环境质量标准》（GB3838-2002）中的</w:t>
            </w:r>
            <w:r>
              <w:rPr>
                <w:rFonts w:hint="eastAsia" w:ascii="宋体" w:hAnsi="宋体" w:eastAsia="宋体" w:cs="宋体"/>
                <w:color w:val="auto"/>
                <w:lang w:val="en-US" w:eastAsia="zh-CN"/>
              </w:rPr>
              <w:t>Ⅳ</w:t>
            </w:r>
            <w:r>
              <w:rPr>
                <w:rFonts w:hint="eastAsia"/>
                <w:color w:val="auto"/>
                <w:lang w:val="en-US" w:eastAsia="zh-CN"/>
              </w:rPr>
              <w:t>类水质标准限值要求，地表水环境质量状况优。</w:t>
            </w:r>
          </w:p>
          <w:p>
            <w:pPr>
              <w:keepNext/>
              <w:keepLines/>
              <w:pageBreakBefore w:val="0"/>
              <w:bidi w:val="0"/>
              <w:spacing w:line="360" w:lineRule="auto"/>
              <w:ind w:firstLine="482" w:firstLineChars="200"/>
              <w:rPr>
                <w:rFonts w:hAnsi="宋体"/>
                <w:b/>
                <w:color w:val="auto"/>
                <w:sz w:val="24"/>
              </w:rPr>
            </w:pPr>
            <w:r>
              <w:rPr>
                <w:rFonts w:hint="eastAsia" w:hAnsi="宋体"/>
                <w:b/>
                <w:color w:val="auto"/>
                <w:sz w:val="24"/>
                <w:lang w:val="en-US" w:eastAsia="zh-CN"/>
              </w:rPr>
              <w:t>3</w:t>
            </w:r>
            <w:r>
              <w:rPr>
                <w:rFonts w:hAnsi="宋体"/>
                <w:b/>
                <w:color w:val="auto"/>
                <w:sz w:val="24"/>
              </w:rPr>
              <w:t>、声环境</w:t>
            </w:r>
            <w:r>
              <w:rPr>
                <w:rFonts w:hint="eastAsia" w:hAnsi="宋体"/>
                <w:b/>
                <w:color w:val="auto"/>
                <w:sz w:val="24"/>
              </w:rPr>
              <w:t>现状及评价</w:t>
            </w:r>
          </w:p>
          <w:p>
            <w:pPr>
              <w:pStyle w:val="60"/>
              <w:keepNext/>
              <w:keepLines/>
              <w:pageBreakBefore w:val="0"/>
              <w:widowControl w:val="0"/>
              <w:bidi w:val="0"/>
              <w:spacing w:after="31"/>
              <w:ind w:firstLine="480"/>
              <w:jc w:val="both"/>
              <w:rPr>
                <w:rFonts w:ascii="Times New Roman" w:hAnsi="Times New Roman" w:cs="Times New Roman"/>
                <w:color w:val="auto"/>
              </w:rPr>
            </w:pPr>
            <w:r>
              <w:rPr>
                <w:rFonts w:hint="eastAsia"/>
                <w:color w:val="auto"/>
                <w:szCs w:val="24"/>
                <w:lang w:eastAsia="zh-CN"/>
              </w:rPr>
              <w:t>项目拟建地位于</w:t>
            </w:r>
            <w:r>
              <w:rPr>
                <w:rFonts w:hint="eastAsia"/>
                <w:color w:val="auto"/>
                <w:lang w:val="en-US" w:eastAsia="zh-CN"/>
              </w:rPr>
              <w:t>海东市乐都区</w:t>
            </w:r>
            <w:r>
              <w:rPr>
                <w:rFonts w:hint="eastAsia" w:ascii="宋体" w:hAnsi="宋体" w:cs="宋体"/>
                <w:color w:val="auto"/>
                <w:szCs w:val="21"/>
                <w:lang w:val="en-US" w:eastAsia="zh-CN"/>
              </w:rPr>
              <w:t>水磨营大桥以东，东岗二路以西，复兴路以南</w:t>
            </w:r>
            <w:r>
              <w:rPr>
                <w:rFonts w:hint="eastAsia"/>
                <w:color w:val="auto"/>
                <w:lang w:val="en-US" w:eastAsia="zh-CN"/>
              </w:rPr>
              <w:t>，主要声环境保护目标为项目南侧东岗村，</w:t>
            </w:r>
            <w:r>
              <w:rPr>
                <w:rFonts w:hint="eastAsia" w:ascii="Times New Roman" w:hAnsi="Times New Roman" w:cs="Times New Roman"/>
                <w:color w:val="auto"/>
              </w:rPr>
              <w:t>为了解项目所在地声环境质量</w:t>
            </w:r>
            <w:r>
              <w:rPr>
                <w:rFonts w:hint="eastAsia" w:ascii="Times New Roman" w:hAnsi="Times New Roman" w:cs="Times New Roman"/>
                <w:color w:val="auto"/>
                <w:lang w:eastAsia="zh-CN"/>
              </w:rPr>
              <w:t>现状</w:t>
            </w:r>
            <w:r>
              <w:rPr>
                <w:rFonts w:hint="eastAsia" w:ascii="Times New Roman" w:hAnsi="Times New Roman" w:cs="Times New Roman"/>
                <w:color w:val="auto"/>
              </w:rPr>
              <w:t>，本次评价委托有资质的单位</w:t>
            </w:r>
            <w:r>
              <w:rPr>
                <w:rFonts w:hint="eastAsia" w:cs="Times New Roman"/>
                <w:color w:val="auto"/>
                <w:sz w:val="24"/>
                <w:lang w:val="en-US" w:eastAsia="zh-CN" w:bidi="ar-SA"/>
              </w:rPr>
              <w:t>委托西宁兴震环境科技技术有限公司</w:t>
            </w:r>
            <w:r>
              <w:rPr>
                <w:rFonts w:hint="eastAsia" w:ascii="Times New Roman" w:hAnsi="Times New Roman" w:cs="Times New Roman"/>
                <w:color w:val="auto"/>
              </w:rPr>
              <w:t>对项目区域</w:t>
            </w:r>
            <w:r>
              <w:rPr>
                <w:rFonts w:hint="eastAsia" w:ascii="Times New Roman" w:hAnsi="Times New Roman" w:cs="Times New Roman"/>
                <w:color w:val="auto"/>
                <w:lang w:val="en-US" w:eastAsia="zh-CN"/>
              </w:rPr>
              <w:t>场界</w:t>
            </w:r>
            <w:r>
              <w:rPr>
                <w:rFonts w:hint="eastAsia" w:ascii="Times New Roman" w:hAnsi="Times New Roman" w:cs="Times New Roman"/>
                <w:color w:val="auto"/>
              </w:rPr>
              <w:t>进行声环境现状监测。</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w:t>
            </w:r>
            <w:r>
              <w:rPr>
                <w:rFonts w:ascii="Times New Roman" w:hAnsi="Times New Roman" w:eastAsia="宋体" w:cs="Times New Roman"/>
                <w:color w:val="auto"/>
                <w:sz w:val="24"/>
                <w:lang w:val="en-US" w:eastAsia="zh-CN" w:bidi="ar-SA"/>
              </w:rPr>
              <w:t>1</w:t>
            </w:r>
            <w:r>
              <w:rPr>
                <w:rFonts w:hint="eastAsia" w:ascii="Times New Roman" w:hAnsi="Times New Roman" w:eastAsia="宋体" w:cs="Times New Roman"/>
                <w:color w:val="auto"/>
                <w:sz w:val="24"/>
                <w:lang w:val="en-US" w:eastAsia="zh-CN" w:bidi="ar-SA"/>
              </w:rPr>
              <w:t>）监测点位：项目四周厂界，共选取四个点位。</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w:t>
            </w:r>
            <w:r>
              <w:rPr>
                <w:rFonts w:ascii="Times New Roman" w:hAnsi="Times New Roman" w:eastAsia="宋体"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）检测时间及频次</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ascii="Times New Roman" w:hAnsi="Times New Roman" w:eastAsia="宋体" w:cs="Times New Roman"/>
                <w:color w:val="auto"/>
                <w:sz w:val="24"/>
                <w:lang w:val="en-US" w:eastAsia="zh-CN" w:bidi="ar-SA"/>
              </w:rPr>
              <w:t>20</w:t>
            </w:r>
            <w:r>
              <w:rPr>
                <w:rFonts w:hint="eastAsia" w:cs="Times New Roman"/>
                <w:color w:val="auto"/>
                <w:sz w:val="24"/>
                <w:lang w:val="en-US" w:eastAsia="zh-CN" w:bidi="ar-SA"/>
              </w:rPr>
              <w:t>24</w:t>
            </w:r>
            <w:r>
              <w:rPr>
                <w:rFonts w:hint="eastAsia" w:ascii="Times New Roman" w:hAnsi="Times New Roman" w:eastAsia="宋体" w:cs="Times New Roman"/>
                <w:color w:val="auto"/>
                <w:sz w:val="24"/>
                <w:lang w:val="en-US" w:eastAsia="zh-CN" w:bidi="ar-SA"/>
              </w:rPr>
              <w:t>年</w:t>
            </w:r>
            <w:r>
              <w:rPr>
                <w:rFonts w:hint="eastAsia" w:cs="Times New Roman"/>
                <w:color w:val="auto"/>
                <w:sz w:val="24"/>
                <w:lang w:val="en-US" w:eastAsia="zh-CN" w:bidi="ar-SA"/>
              </w:rPr>
              <w:t>1</w:t>
            </w:r>
            <w:r>
              <w:rPr>
                <w:rFonts w:hint="eastAsia" w:ascii="Times New Roman" w:hAnsi="Times New Roman" w:eastAsia="宋体" w:cs="Times New Roman"/>
                <w:color w:val="auto"/>
                <w:sz w:val="24"/>
                <w:lang w:val="en-US" w:eastAsia="zh-CN" w:bidi="ar-SA"/>
              </w:rPr>
              <w:t>月</w:t>
            </w:r>
            <w:r>
              <w:rPr>
                <w:rFonts w:hint="eastAsia" w:cs="Times New Roman"/>
                <w:color w:val="auto"/>
                <w:sz w:val="24"/>
                <w:lang w:val="en-US" w:eastAsia="zh-CN" w:bidi="ar-SA"/>
              </w:rPr>
              <w:t>25</w:t>
            </w:r>
            <w:r>
              <w:rPr>
                <w:rFonts w:hint="eastAsia" w:ascii="Times New Roman" w:hAnsi="Times New Roman" w:eastAsia="宋体" w:cs="Times New Roman"/>
                <w:color w:val="auto"/>
                <w:sz w:val="24"/>
                <w:lang w:val="en-US" w:eastAsia="zh-CN" w:bidi="ar-SA"/>
              </w:rPr>
              <w:t>日</w:t>
            </w:r>
            <w:r>
              <w:rPr>
                <w:rFonts w:hint="eastAsia" w:cs="Times New Roman"/>
                <w:color w:val="auto"/>
                <w:sz w:val="24"/>
                <w:lang w:val="en-US" w:eastAsia="zh-CN" w:bidi="ar-SA"/>
              </w:rPr>
              <w:t>-2024年1月26日</w:t>
            </w:r>
            <w:r>
              <w:rPr>
                <w:rFonts w:hint="eastAsia" w:ascii="Times New Roman" w:hAnsi="Times New Roman" w:eastAsia="宋体" w:cs="Times New Roman"/>
                <w:color w:val="auto"/>
                <w:sz w:val="24"/>
                <w:lang w:val="en-US" w:eastAsia="zh-CN" w:bidi="ar-SA"/>
              </w:rPr>
              <w:t>，监测</w:t>
            </w: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天，昼间和夜间各进行一次。</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w:t>
            </w:r>
            <w:r>
              <w:rPr>
                <w:rFonts w:ascii="Times New Roman" w:hAnsi="Times New Roman" w:eastAsia="宋体" w:cs="Times New Roman"/>
                <w:color w:val="auto"/>
                <w:sz w:val="24"/>
                <w:lang w:val="en-US" w:eastAsia="zh-CN" w:bidi="ar-SA"/>
              </w:rPr>
              <w:t>3</w:t>
            </w:r>
            <w:r>
              <w:rPr>
                <w:rFonts w:hint="eastAsia" w:ascii="Times New Roman" w:hAnsi="Times New Roman" w:eastAsia="宋体" w:cs="Times New Roman"/>
                <w:color w:val="auto"/>
                <w:sz w:val="24"/>
                <w:lang w:val="en-US" w:eastAsia="zh-CN" w:bidi="ar-SA"/>
              </w:rPr>
              <w:t>）方法及来源</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声环境监测方法及来源按照《声环境质量标准》（</w:t>
            </w:r>
            <w:r>
              <w:rPr>
                <w:rFonts w:ascii="Times New Roman" w:hAnsi="Times New Roman" w:eastAsia="宋体" w:cs="Times New Roman"/>
                <w:color w:val="auto"/>
                <w:sz w:val="24"/>
                <w:lang w:val="en-US" w:eastAsia="zh-CN" w:bidi="ar-SA"/>
              </w:rPr>
              <w:t>GB3096-2008</w:t>
            </w:r>
            <w:r>
              <w:rPr>
                <w:rFonts w:hint="eastAsia" w:ascii="Times New Roman" w:hAnsi="Times New Roman" w:eastAsia="宋体" w:cs="Times New Roman"/>
                <w:color w:val="auto"/>
                <w:sz w:val="24"/>
                <w:lang w:val="en-US" w:eastAsia="zh-CN" w:bidi="ar-SA"/>
              </w:rPr>
              <w:t>）要求进行，检测仪器为</w:t>
            </w:r>
            <w:r>
              <w:rPr>
                <w:rFonts w:ascii="Times New Roman" w:hAnsi="Times New Roman" w:eastAsia="宋体" w:cs="Times New Roman"/>
                <w:color w:val="auto"/>
                <w:sz w:val="24"/>
                <w:lang w:val="en-US" w:eastAsia="zh-CN" w:bidi="ar-SA"/>
              </w:rPr>
              <w:t>AWA6228</w:t>
            </w:r>
            <w:r>
              <w:rPr>
                <w:rFonts w:hint="eastAsia" w:ascii="Times New Roman" w:hAnsi="Times New Roman" w:eastAsia="宋体" w:cs="Times New Roman"/>
                <w:color w:val="auto"/>
                <w:sz w:val="24"/>
                <w:lang w:val="en-US" w:eastAsia="zh-CN" w:bidi="ar-SA"/>
              </w:rPr>
              <w:t>声级计。</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w:t>
            </w:r>
            <w:r>
              <w:rPr>
                <w:rFonts w:ascii="Times New Roman" w:hAnsi="Times New Roman" w:eastAsia="宋体" w:cs="Times New Roman"/>
                <w:color w:val="auto"/>
                <w:sz w:val="24"/>
                <w:lang w:val="en-US" w:eastAsia="zh-CN" w:bidi="ar-SA"/>
              </w:rPr>
              <w:t>4</w:t>
            </w:r>
            <w:r>
              <w:rPr>
                <w:rFonts w:hint="eastAsia" w:ascii="Times New Roman" w:hAnsi="Times New Roman" w:eastAsia="宋体" w:cs="Times New Roman"/>
                <w:color w:val="auto"/>
                <w:sz w:val="24"/>
                <w:lang w:val="en-US" w:eastAsia="zh-CN" w:bidi="ar-SA"/>
              </w:rPr>
              <w:t>）检测结果</w:t>
            </w:r>
          </w:p>
          <w:p>
            <w:pPr>
              <w:keepNext/>
              <w:keepLines/>
              <w:pageBreakBefore w:val="0"/>
              <w:widowControl w:val="0"/>
              <w:wordWrap w:val="0"/>
              <w:topLinePunct/>
              <w:bidi w:val="0"/>
              <w:spacing w:after="31" w:line="360" w:lineRule="auto"/>
              <w:ind w:firstLine="480" w:firstLineChars="200"/>
              <w:jc w:val="both"/>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本评价于</w:t>
            </w:r>
            <w:r>
              <w:rPr>
                <w:rFonts w:ascii="Times New Roman" w:hAnsi="Times New Roman" w:eastAsia="宋体" w:cs="Times New Roman"/>
                <w:color w:val="auto"/>
                <w:sz w:val="24"/>
                <w:lang w:val="en-US" w:eastAsia="zh-CN" w:bidi="ar-SA"/>
              </w:rPr>
              <w:t>202</w:t>
            </w:r>
            <w:r>
              <w:rPr>
                <w:rFonts w:hint="eastAsia" w:cs="Times New Roman"/>
                <w:color w:val="auto"/>
                <w:sz w:val="24"/>
                <w:lang w:val="en-US" w:eastAsia="zh-CN" w:bidi="ar-SA"/>
              </w:rPr>
              <w:t>4</w:t>
            </w:r>
            <w:r>
              <w:rPr>
                <w:rFonts w:hint="eastAsia" w:ascii="Times New Roman" w:hAnsi="Times New Roman" w:eastAsia="宋体" w:cs="Times New Roman"/>
                <w:color w:val="auto"/>
                <w:sz w:val="24"/>
                <w:lang w:val="en-US" w:eastAsia="zh-CN" w:bidi="ar-SA"/>
              </w:rPr>
              <w:t>年</w:t>
            </w:r>
            <w:r>
              <w:rPr>
                <w:rFonts w:hint="eastAsia" w:cs="Times New Roman"/>
                <w:color w:val="auto"/>
                <w:sz w:val="24"/>
                <w:lang w:val="en-US" w:eastAsia="zh-CN" w:bidi="ar-SA"/>
              </w:rPr>
              <w:t>1</w:t>
            </w:r>
            <w:r>
              <w:rPr>
                <w:rFonts w:hint="eastAsia" w:ascii="Times New Roman" w:hAnsi="Times New Roman" w:eastAsia="宋体" w:cs="Times New Roman"/>
                <w:color w:val="auto"/>
                <w:sz w:val="24"/>
                <w:lang w:val="en-US" w:eastAsia="zh-CN" w:bidi="ar-SA"/>
              </w:rPr>
              <w:t>月</w:t>
            </w:r>
            <w:r>
              <w:rPr>
                <w:rFonts w:hint="eastAsia" w:cs="Times New Roman"/>
                <w:color w:val="auto"/>
                <w:sz w:val="24"/>
                <w:lang w:val="en-US" w:eastAsia="zh-CN" w:bidi="ar-SA"/>
              </w:rPr>
              <w:t>25</w:t>
            </w:r>
            <w:r>
              <w:rPr>
                <w:rFonts w:hint="eastAsia" w:ascii="Times New Roman" w:hAnsi="Times New Roman" w:eastAsia="宋体" w:cs="Times New Roman"/>
                <w:color w:val="auto"/>
                <w:sz w:val="24"/>
                <w:lang w:val="en-US" w:eastAsia="zh-CN" w:bidi="ar-SA"/>
              </w:rPr>
              <w:t>日对项目场界进行的现场监测，评价以此数据作为声环境质量现状的评价依据。</w:t>
            </w:r>
          </w:p>
          <w:p>
            <w:pPr>
              <w:pStyle w:val="27"/>
              <w:bidi w:val="0"/>
              <w:rPr>
                <w:color w:val="auto"/>
                <w:lang w:val="en-US" w:eastAsia="zh-CN"/>
              </w:rPr>
            </w:pPr>
            <w:r>
              <w:rPr>
                <w:rFonts w:hint="eastAsia"/>
                <w:color w:val="auto"/>
                <w:lang w:val="en-US" w:eastAsia="zh-CN"/>
              </w:rPr>
              <w:t>表</w:t>
            </w:r>
            <w:r>
              <w:rPr>
                <w:color w:val="auto"/>
                <w:lang w:val="en-US" w:eastAsia="zh-CN"/>
              </w:rPr>
              <w:t xml:space="preserve"> 3-</w:t>
            </w:r>
            <w:r>
              <w:rPr>
                <w:rFonts w:hint="eastAsia"/>
                <w:color w:val="auto"/>
                <w:lang w:val="en-US" w:eastAsia="zh-CN"/>
              </w:rPr>
              <w:t>2项目区声环境质量</w:t>
            </w:r>
            <w:r>
              <w:rPr>
                <w:color w:val="auto"/>
                <w:lang w:val="en-US" w:eastAsia="zh-CN"/>
              </w:rPr>
              <w:t xml:space="preserve">  </w:t>
            </w:r>
            <w:r>
              <w:rPr>
                <w:rFonts w:hint="eastAsia"/>
                <w:color w:val="auto"/>
                <w:lang w:val="en-US" w:eastAsia="zh-CN"/>
              </w:rPr>
              <w:t>单位</w:t>
            </w:r>
            <w:r>
              <w:rPr>
                <w:color w:val="auto"/>
                <w:lang w:val="en-US" w:eastAsia="zh-CN"/>
              </w:rPr>
              <w:t xml:space="preserve"> </w:t>
            </w:r>
            <w:r>
              <w:rPr>
                <w:rFonts w:hint="eastAsia"/>
                <w:color w:val="auto"/>
                <w:lang w:val="en-US" w:eastAsia="zh-CN"/>
              </w:rPr>
              <w:t>：</w:t>
            </w:r>
            <w:r>
              <w:rPr>
                <w:color w:val="auto"/>
                <w:lang w:val="en-US" w:eastAsia="zh-CN"/>
              </w:rPr>
              <w:t>dB</w:t>
            </w:r>
            <w:r>
              <w:rPr>
                <w:rFonts w:hint="eastAsia"/>
                <w:color w:val="auto"/>
                <w:lang w:val="en-US" w:eastAsia="zh-CN"/>
              </w:rPr>
              <w:t>（</w:t>
            </w:r>
            <w:r>
              <w:rPr>
                <w:color w:val="auto"/>
                <w:lang w:val="en-US" w:eastAsia="zh-CN"/>
              </w:rPr>
              <w:t>A</w:t>
            </w:r>
            <w:r>
              <w:rPr>
                <w:rFonts w:hint="eastAsia"/>
                <w:color w:val="auto"/>
                <w:lang w:val="en-US" w:eastAsia="zh-CN"/>
              </w:rPr>
              <w:t>）</w:t>
            </w:r>
          </w:p>
          <w:tbl>
            <w:tblPr>
              <w:tblStyle w:val="21"/>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021"/>
              <w:gridCol w:w="1255"/>
              <w:gridCol w:w="1105"/>
              <w:gridCol w:w="1105"/>
              <w:gridCol w:w="110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765" w:type="pct"/>
                  <w:vMerge w:val="restart"/>
                  <w:tcBorders>
                    <w:tl2br w:val="nil"/>
                    <w:tr2bl w:val="nil"/>
                  </w:tcBorders>
                  <w:vAlign w:val="center"/>
                </w:tcPr>
                <w:p>
                  <w:pPr>
                    <w:pStyle w:val="28"/>
                    <w:bidi w:val="0"/>
                    <w:rPr>
                      <w:b/>
                      <w:bCs/>
                      <w:color w:val="auto"/>
                      <w:lang w:val="en-US" w:eastAsia="zh-CN"/>
                    </w:rPr>
                  </w:pPr>
                  <w:r>
                    <w:rPr>
                      <w:rFonts w:hint="eastAsia"/>
                      <w:b/>
                      <w:bCs/>
                      <w:color w:val="auto"/>
                      <w:lang w:val="en-US" w:eastAsia="zh-CN"/>
                    </w:rPr>
                    <w:t>监测点</w:t>
                  </w:r>
                </w:p>
              </w:tc>
              <w:tc>
                <w:tcPr>
                  <w:tcW w:w="1439" w:type="pct"/>
                  <w:gridSpan w:val="2"/>
                  <w:tcBorders>
                    <w:tl2br w:val="nil"/>
                    <w:tr2bl w:val="nil"/>
                  </w:tcBorders>
                  <w:vAlign w:val="center"/>
                </w:tcPr>
                <w:p>
                  <w:pPr>
                    <w:pStyle w:val="28"/>
                    <w:bidi w:val="0"/>
                    <w:rPr>
                      <w:b/>
                      <w:bCs/>
                      <w:color w:val="auto"/>
                      <w:lang w:val="en-US" w:eastAsia="zh-CN"/>
                    </w:rPr>
                  </w:pPr>
                  <w:r>
                    <w:rPr>
                      <w:b/>
                      <w:bCs/>
                      <w:color w:val="auto"/>
                      <w:lang w:val="en-US" w:eastAsia="zh-CN"/>
                    </w:rPr>
                    <w:t>202</w:t>
                  </w:r>
                  <w:r>
                    <w:rPr>
                      <w:rFonts w:hint="eastAsia"/>
                      <w:b/>
                      <w:bCs/>
                      <w:color w:val="auto"/>
                      <w:lang w:val="en-US" w:eastAsia="zh-CN"/>
                    </w:rPr>
                    <w:t>4年1月25日</w:t>
                  </w:r>
                </w:p>
              </w:tc>
              <w:tc>
                <w:tcPr>
                  <w:tcW w:w="1397" w:type="pct"/>
                  <w:gridSpan w:val="2"/>
                  <w:tcBorders>
                    <w:tl2br w:val="nil"/>
                    <w:tr2bl w:val="nil"/>
                  </w:tcBorders>
                  <w:vAlign w:val="center"/>
                </w:tcPr>
                <w:p>
                  <w:pPr>
                    <w:pStyle w:val="28"/>
                    <w:bidi w:val="0"/>
                    <w:rPr>
                      <w:rFonts w:hint="eastAsia"/>
                      <w:b/>
                      <w:bCs/>
                      <w:color w:val="auto"/>
                      <w:lang w:val="en-US" w:eastAsia="zh-CN"/>
                    </w:rPr>
                  </w:pPr>
                  <w:r>
                    <w:rPr>
                      <w:b/>
                      <w:bCs/>
                      <w:color w:val="auto"/>
                      <w:lang w:val="en-US" w:eastAsia="zh-CN"/>
                    </w:rPr>
                    <w:t>202</w:t>
                  </w:r>
                  <w:r>
                    <w:rPr>
                      <w:rFonts w:hint="eastAsia"/>
                      <w:b/>
                      <w:bCs/>
                      <w:color w:val="auto"/>
                      <w:lang w:val="en-US" w:eastAsia="zh-CN"/>
                    </w:rPr>
                    <w:t>4年1月26日</w:t>
                  </w:r>
                </w:p>
              </w:tc>
              <w:tc>
                <w:tcPr>
                  <w:tcW w:w="1397" w:type="pct"/>
                  <w:gridSpan w:val="2"/>
                  <w:tcBorders>
                    <w:tl2br w:val="nil"/>
                    <w:tr2bl w:val="nil"/>
                  </w:tcBorders>
                  <w:vAlign w:val="center"/>
                </w:tcPr>
                <w:p>
                  <w:pPr>
                    <w:pStyle w:val="28"/>
                    <w:bidi w:val="0"/>
                    <w:rPr>
                      <w:rFonts w:hint="eastAsia"/>
                      <w:b/>
                      <w:bCs/>
                      <w:color w:val="auto"/>
                      <w:lang w:val="en-US" w:eastAsia="zh-CN"/>
                    </w:rPr>
                  </w:pPr>
                  <w:r>
                    <w:rPr>
                      <w:rFonts w:hint="eastAsia"/>
                      <w:b/>
                      <w:bCs/>
                      <w:color w:val="auto"/>
                      <w:lang w:val="en-US" w:eastAsia="zh-CN"/>
                    </w:rPr>
                    <w:t>执行标准限值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765" w:type="pct"/>
                  <w:vMerge w:val="continue"/>
                  <w:tcBorders>
                    <w:tl2br w:val="nil"/>
                    <w:tr2bl w:val="nil"/>
                  </w:tcBorders>
                  <w:vAlign w:val="center"/>
                </w:tcPr>
                <w:p>
                  <w:pPr>
                    <w:pStyle w:val="28"/>
                    <w:bidi w:val="0"/>
                    <w:rPr>
                      <w:b/>
                      <w:bCs/>
                      <w:color w:val="auto"/>
                      <w:lang w:val="en-US" w:eastAsia="zh-CN"/>
                    </w:rPr>
                  </w:pPr>
                </w:p>
              </w:tc>
              <w:tc>
                <w:tcPr>
                  <w:tcW w:w="645" w:type="pct"/>
                  <w:tcBorders>
                    <w:tl2br w:val="nil"/>
                    <w:tr2bl w:val="nil"/>
                  </w:tcBorders>
                  <w:vAlign w:val="center"/>
                </w:tcPr>
                <w:p>
                  <w:pPr>
                    <w:pStyle w:val="28"/>
                    <w:bidi w:val="0"/>
                    <w:rPr>
                      <w:b/>
                      <w:bCs/>
                      <w:color w:val="auto"/>
                      <w:lang w:val="en-US" w:eastAsia="zh-CN"/>
                    </w:rPr>
                  </w:pPr>
                  <w:r>
                    <w:rPr>
                      <w:rFonts w:hint="eastAsia"/>
                      <w:b/>
                      <w:bCs/>
                      <w:color w:val="auto"/>
                      <w:lang w:val="en-US" w:eastAsia="zh-CN"/>
                    </w:rPr>
                    <w:t>昼间</w:t>
                  </w:r>
                </w:p>
              </w:tc>
              <w:tc>
                <w:tcPr>
                  <w:tcW w:w="793" w:type="pct"/>
                  <w:tcBorders>
                    <w:tl2br w:val="nil"/>
                    <w:tr2bl w:val="nil"/>
                  </w:tcBorders>
                  <w:vAlign w:val="center"/>
                </w:tcPr>
                <w:p>
                  <w:pPr>
                    <w:pStyle w:val="28"/>
                    <w:bidi w:val="0"/>
                    <w:rPr>
                      <w:b/>
                      <w:bCs/>
                      <w:color w:val="auto"/>
                      <w:lang w:val="en-US" w:eastAsia="zh-CN"/>
                    </w:rPr>
                  </w:pPr>
                  <w:r>
                    <w:rPr>
                      <w:rFonts w:hint="eastAsia"/>
                      <w:b/>
                      <w:bCs/>
                      <w:color w:val="auto"/>
                      <w:lang w:val="en-US" w:eastAsia="zh-CN"/>
                    </w:rPr>
                    <w:t>夜间</w:t>
                  </w:r>
                </w:p>
              </w:tc>
              <w:tc>
                <w:tcPr>
                  <w:tcW w:w="698" w:type="pct"/>
                  <w:tcBorders>
                    <w:tl2br w:val="nil"/>
                    <w:tr2bl w:val="nil"/>
                  </w:tcBorders>
                  <w:vAlign w:val="center"/>
                </w:tcPr>
                <w:p>
                  <w:pPr>
                    <w:pStyle w:val="28"/>
                    <w:bidi w:val="0"/>
                    <w:rPr>
                      <w:b/>
                      <w:bCs/>
                      <w:color w:val="auto"/>
                      <w:lang w:val="en-US" w:eastAsia="zh-CN"/>
                    </w:rPr>
                  </w:pPr>
                  <w:r>
                    <w:rPr>
                      <w:rFonts w:hint="eastAsia"/>
                      <w:b/>
                      <w:bCs/>
                      <w:color w:val="auto"/>
                      <w:lang w:val="en-US" w:eastAsia="zh-CN"/>
                    </w:rPr>
                    <w:t>昼间</w:t>
                  </w:r>
                </w:p>
              </w:tc>
              <w:tc>
                <w:tcPr>
                  <w:tcW w:w="698" w:type="pct"/>
                  <w:tcBorders>
                    <w:tl2br w:val="nil"/>
                    <w:tr2bl w:val="nil"/>
                  </w:tcBorders>
                  <w:vAlign w:val="center"/>
                </w:tcPr>
                <w:p>
                  <w:pPr>
                    <w:pStyle w:val="28"/>
                    <w:bidi w:val="0"/>
                    <w:rPr>
                      <w:b/>
                      <w:bCs/>
                      <w:color w:val="auto"/>
                      <w:lang w:val="en-US" w:eastAsia="zh-CN"/>
                    </w:rPr>
                  </w:pPr>
                  <w:r>
                    <w:rPr>
                      <w:rFonts w:hint="eastAsia"/>
                      <w:b/>
                      <w:bCs/>
                      <w:color w:val="auto"/>
                      <w:lang w:val="en-US" w:eastAsia="zh-CN"/>
                    </w:rPr>
                    <w:t>夜间</w:t>
                  </w:r>
                </w:p>
              </w:tc>
              <w:tc>
                <w:tcPr>
                  <w:tcW w:w="698" w:type="pct"/>
                  <w:tcBorders>
                    <w:tl2br w:val="nil"/>
                    <w:tr2bl w:val="nil"/>
                  </w:tcBorders>
                  <w:vAlign w:val="center"/>
                </w:tcPr>
                <w:p>
                  <w:pPr>
                    <w:pStyle w:val="28"/>
                    <w:bidi w:val="0"/>
                    <w:rPr>
                      <w:rFonts w:hint="eastAsia"/>
                      <w:b/>
                      <w:bCs/>
                      <w:color w:val="auto"/>
                      <w:lang w:val="en-US" w:eastAsia="zh-CN"/>
                    </w:rPr>
                  </w:pPr>
                  <w:r>
                    <w:rPr>
                      <w:rFonts w:hint="eastAsia"/>
                      <w:b/>
                      <w:bCs/>
                      <w:color w:val="auto"/>
                      <w:lang w:val="en-US" w:eastAsia="zh-CN"/>
                    </w:rPr>
                    <w:t>昼间</w:t>
                  </w:r>
                </w:p>
              </w:tc>
              <w:tc>
                <w:tcPr>
                  <w:tcW w:w="698" w:type="pct"/>
                  <w:tcBorders>
                    <w:tl2br w:val="nil"/>
                    <w:tr2bl w:val="nil"/>
                  </w:tcBorders>
                  <w:vAlign w:val="center"/>
                </w:tcPr>
                <w:p>
                  <w:pPr>
                    <w:pStyle w:val="28"/>
                    <w:bidi w:val="0"/>
                    <w:rPr>
                      <w:rFonts w:hint="eastAsia"/>
                      <w:b/>
                      <w:bCs/>
                      <w:color w:val="auto"/>
                      <w:lang w:val="en-US" w:eastAsia="zh-CN"/>
                    </w:rPr>
                  </w:pPr>
                  <w:r>
                    <w:rPr>
                      <w:rFonts w:hint="eastAsia"/>
                      <w:b/>
                      <w:bCs/>
                      <w:color w:val="auto"/>
                      <w:lang w:val="en-US" w:eastAsia="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765" w:type="pct"/>
                  <w:tcBorders>
                    <w:tl2br w:val="nil"/>
                    <w:tr2bl w:val="nil"/>
                  </w:tcBorders>
                  <w:vAlign w:val="center"/>
                </w:tcPr>
                <w:p>
                  <w:pPr>
                    <w:pStyle w:val="28"/>
                    <w:bidi w:val="0"/>
                    <w:rPr>
                      <w:color w:val="auto"/>
                      <w:lang w:val="en-US" w:eastAsia="zh-CN"/>
                    </w:rPr>
                  </w:pPr>
                  <w:r>
                    <w:rPr>
                      <w:rFonts w:hint="eastAsia"/>
                      <w:color w:val="auto"/>
                      <w:lang w:val="en-US" w:eastAsia="zh-CN"/>
                    </w:rPr>
                    <w:t>东侧</w:t>
                  </w:r>
                </w:p>
              </w:tc>
              <w:tc>
                <w:tcPr>
                  <w:tcW w:w="645"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41.8</w:t>
                  </w:r>
                </w:p>
              </w:tc>
              <w:tc>
                <w:tcPr>
                  <w:tcW w:w="793"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41.1</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37.0</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36.3</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55</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765" w:type="pct"/>
                  <w:tcBorders>
                    <w:tl2br w:val="nil"/>
                    <w:tr2bl w:val="nil"/>
                  </w:tcBorders>
                  <w:vAlign w:val="center"/>
                </w:tcPr>
                <w:p>
                  <w:pPr>
                    <w:pStyle w:val="28"/>
                    <w:bidi w:val="0"/>
                    <w:rPr>
                      <w:color w:val="auto"/>
                      <w:lang w:val="en-US" w:eastAsia="zh-CN"/>
                    </w:rPr>
                  </w:pPr>
                  <w:r>
                    <w:rPr>
                      <w:rFonts w:hint="eastAsia"/>
                      <w:color w:val="auto"/>
                      <w:lang w:val="en-US" w:eastAsia="zh-CN"/>
                    </w:rPr>
                    <w:t>南侧</w:t>
                  </w:r>
                </w:p>
              </w:tc>
              <w:tc>
                <w:tcPr>
                  <w:tcW w:w="645"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40.1</w:t>
                  </w:r>
                </w:p>
              </w:tc>
              <w:tc>
                <w:tcPr>
                  <w:tcW w:w="793"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39.5</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39.3</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38.3</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55</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765" w:type="pct"/>
                  <w:tcBorders>
                    <w:tl2br w:val="nil"/>
                    <w:tr2bl w:val="nil"/>
                  </w:tcBorders>
                  <w:vAlign w:val="center"/>
                </w:tcPr>
                <w:p>
                  <w:pPr>
                    <w:pStyle w:val="28"/>
                    <w:bidi w:val="0"/>
                    <w:rPr>
                      <w:color w:val="auto"/>
                      <w:lang w:val="en-US" w:eastAsia="zh-CN"/>
                    </w:rPr>
                  </w:pPr>
                  <w:r>
                    <w:rPr>
                      <w:rFonts w:hint="eastAsia"/>
                      <w:color w:val="auto"/>
                      <w:lang w:val="en-US" w:eastAsia="zh-CN"/>
                    </w:rPr>
                    <w:t>西侧</w:t>
                  </w:r>
                </w:p>
              </w:tc>
              <w:tc>
                <w:tcPr>
                  <w:tcW w:w="645"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50.9</w:t>
                  </w:r>
                </w:p>
              </w:tc>
              <w:tc>
                <w:tcPr>
                  <w:tcW w:w="793"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48.6</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53.9</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47.9</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55</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765" w:type="pct"/>
                  <w:tcBorders>
                    <w:tl2br w:val="nil"/>
                    <w:tr2bl w:val="nil"/>
                  </w:tcBorders>
                  <w:vAlign w:val="center"/>
                </w:tcPr>
                <w:p>
                  <w:pPr>
                    <w:pStyle w:val="28"/>
                    <w:bidi w:val="0"/>
                    <w:rPr>
                      <w:color w:val="auto"/>
                      <w:lang w:val="en-US" w:eastAsia="zh-CN"/>
                    </w:rPr>
                  </w:pPr>
                  <w:r>
                    <w:rPr>
                      <w:rFonts w:hint="eastAsia"/>
                      <w:color w:val="auto"/>
                      <w:lang w:val="en-US" w:eastAsia="zh-CN"/>
                    </w:rPr>
                    <w:t>北侧</w:t>
                  </w:r>
                </w:p>
              </w:tc>
              <w:tc>
                <w:tcPr>
                  <w:tcW w:w="645"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41.8</w:t>
                  </w:r>
                </w:p>
              </w:tc>
              <w:tc>
                <w:tcPr>
                  <w:tcW w:w="793"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41.3</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42.9</w:t>
                  </w:r>
                </w:p>
              </w:tc>
              <w:tc>
                <w:tcPr>
                  <w:tcW w:w="698" w:type="pct"/>
                  <w:tcBorders>
                    <w:tl2br w:val="nil"/>
                    <w:tr2bl w:val="nil"/>
                  </w:tcBorders>
                  <w:vAlign w:val="center"/>
                </w:tcPr>
                <w:p>
                  <w:pPr>
                    <w:pStyle w:val="28"/>
                    <w:bidi w:val="0"/>
                    <w:rPr>
                      <w:rFonts w:hint="default"/>
                      <w:color w:val="auto"/>
                      <w:lang w:val="en-US" w:eastAsia="zh-CN"/>
                    </w:rPr>
                  </w:pPr>
                  <w:r>
                    <w:rPr>
                      <w:rFonts w:hint="eastAsia"/>
                      <w:color w:val="auto"/>
                      <w:lang w:val="en-US" w:eastAsia="zh-CN"/>
                    </w:rPr>
                    <w:t>40.6</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55</w:t>
                  </w:r>
                </w:p>
              </w:tc>
              <w:tc>
                <w:tcPr>
                  <w:tcW w:w="698" w:type="pct"/>
                  <w:tcBorders>
                    <w:tl2br w:val="nil"/>
                    <w:tr2bl w:val="nil"/>
                  </w:tcBorders>
                  <w:vAlign w:val="center"/>
                </w:tcPr>
                <w:p>
                  <w:pPr>
                    <w:pStyle w:val="28"/>
                    <w:bidi w:val="0"/>
                    <w:rPr>
                      <w:rFonts w:hint="eastAsia"/>
                      <w:color w:val="auto"/>
                      <w:lang w:val="en-US" w:eastAsia="zh-CN"/>
                    </w:rPr>
                  </w:pPr>
                  <w:r>
                    <w:rPr>
                      <w:rFonts w:hint="eastAsia"/>
                      <w:color w:val="auto"/>
                      <w:lang w:val="en-US" w:eastAsia="zh-CN"/>
                    </w:rPr>
                    <w:t>45</w:t>
                  </w:r>
                </w:p>
              </w:tc>
            </w:tr>
          </w:tbl>
          <w:p>
            <w:pPr>
              <w:pStyle w:val="51"/>
              <w:keepNext/>
              <w:keepLines/>
              <w:pageBreakBefore w:val="0"/>
              <w:bidi w:val="0"/>
              <w:ind w:firstLine="480"/>
              <w:rPr>
                <w:rFonts w:ascii="宋体" w:hAnsi="宋体" w:cs="宋体"/>
                <w:color w:val="auto"/>
                <w:kern w:val="0"/>
                <w:szCs w:val="21"/>
              </w:rPr>
            </w:pPr>
            <w:bookmarkStart w:id="2" w:name="_Toc290536461"/>
            <w:r>
              <w:rPr>
                <w:rFonts w:hint="eastAsia" w:ascii="Times New Roman" w:hAnsi="Times New Roman" w:eastAsia="宋体" w:cs="Times New Roman"/>
                <w:color w:val="auto"/>
                <w:sz w:val="24"/>
                <w:lang w:val="en-US" w:eastAsia="zh-CN" w:bidi="ar-SA"/>
              </w:rPr>
              <w:t>以上监测结果表明，本项目各个监测点位的环境噪声值均满足《声环境质量标准》（</w:t>
            </w:r>
            <w:r>
              <w:rPr>
                <w:rFonts w:ascii="Times New Roman" w:hAnsi="Times New Roman" w:eastAsia="宋体" w:cs="Times New Roman"/>
                <w:color w:val="auto"/>
                <w:sz w:val="24"/>
                <w:lang w:val="en-US" w:eastAsia="zh-CN" w:bidi="ar-SA"/>
              </w:rPr>
              <w:t>GB3096-2008</w:t>
            </w:r>
            <w:r>
              <w:rPr>
                <w:rFonts w:hint="eastAsia" w:ascii="Times New Roman" w:hAnsi="Times New Roman" w:eastAsia="宋体" w:cs="Times New Roman"/>
                <w:color w:val="auto"/>
                <w:sz w:val="24"/>
                <w:lang w:val="en-US" w:eastAsia="zh-CN" w:bidi="ar-SA"/>
              </w:rPr>
              <w:t>）中的</w:t>
            </w:r>
            <w:r>
              <w:rPr>
                <w:rFonts w:hint="eastAsia" w:cs="Times New Roman"/>
                <w:color w:val="auto"/>
                <w:sz w:val="24"/>
                <w:lang w:val="en-US" w:eastAsia="zh-CN" w:bidi="ar-SA"/>
              </w:rPr>
              <w:t>1</w:t>
            </w:r>
            <w:r>
              <w:rPr>
                <w:rFonts w:hint="eastAsia" w:ascii="Times New Roman" w:hAnsi="Times New Roman" w:eastAsia="宋体" w:cs="Times New Roman"/>
                <w:color w:val="auto"/>
                <w:sz w:val="24"/>
                <w:lang w:val="en-US" w:eastAsia="zh-CN" w:bidi="ar-SA"/>
              </w:rPr>
              <w:t>类标准限值，符合项目所在区域的声环境功能。</w:t>
            </w:r>
            <w:bookmarkEnd w:id="2"/>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800" w:type="dxa"/>
            <w:noWrap w:val="0"/>
            <w:vAlign w:val="center"/>
          </w:tcPr>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环境</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保护</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目标</w:t>
            </w:r>
          </w:p>
        </w:tc>
        <w:tc>
          <w:tcPr>
            <w:tcW w:w="8190" w:type="dxa"/>
            <w:noWrap w:val="0"/>
            <w:vAlign w:val="center"/>
          </w:tcPr>
          <w:p>
            <w:pPr>
              <w:keepNext/>
              <w:keepLines/>
              <w:pageBreakBefore w:val="0"/>
              <w:bidi w:val="0"/>
              <w:spacing w:line="360" w:lineRule="auto"/>
              <w:jc w:val="left"/>
              <w:rPr>
                <w:rFonts w:ascii="宋体" w:hAnsi="宋体"/>
                <w:b/>
                <w:color w:val="auto"/>
                <w:spacing w:val="-4"/>
                <w:sz w:val="24"/>
              </w:rPr>
            </w:pPr>
            <w:r>
              <w:rPr>
                <w:rFonts w:ascii="宋体" w:hAnsi="宋体"/>
                <w:b/>
                <w:color w:val="auto"/>
                <w:spacing w:val="-4"/>
                <w:sz w:val="24"/>
              </w:rPr>
              <w:t>主要环境保护目标（列出名单及保护级别）：</w:t>
            </w:r>
          </w:p>
          <w:p>
            <w:pPr>
              <w:pStyle w:val="51"/>
              <w:keepNext/>
              <w:keepLines/>
              <w:pageBreakBefore w:val="0"/>
              <w:bidi w:val="0"/>
              <w:ind w:firstLine="480"/>
              <w:rPr>
                <w:rFonts w:hint="eastAsia"/>
                <w:color w:val="auto"/>
                <w:lang w:val="zh-CN"/>
              </w:rPr>
            </w:pPr>
            <w:r>
              <w:rPr>
                <w:rFonts w:hint="eastAsia" w:ascii="Times New Roman"/>
                <w:color w:val="auto"/>
                <w:szCs w:val="24"/>
                <w:lang w:val="en-US" w:eastAsia="zh-CN"/>
              </w:rPr>
              <w:t>项目位于</w:t>
            </w:r>
            <w:r>
              <w:rPr>
                <w:rFonts w:hint="eastAsia"/>
                <w:color w:val="auto"/>
                <w:lang w:val="en-US" w:eastAsia="zh-CN"/>
              </w:rPr>
              <w:t>海东市乐都区</w:t>
            </w:r>
            <w:r>
              <w:rPr>
                <w:rFonts w:hint="eastAsia" w:ascii="宋体" w:hAnsi="宋体" w:cs="宋体"/>
                <w:color w:val="auto"/>
                <w:szCs w:val="21"/>
                <w:lang w:val="en-US" w:eastAsia="zh-CN"/>
              </w:rPr>
              <w:t>水磨营大桥以东，东岗二路以西，复兴路以南</w:t>
            </w:r>
            <w:r>
              <w:rPr>
                <w:rFonts w:hint="eastAsia" w:hAnsi="宋体"/>
                <w:color w:val="auto"/>
                <w:sz w:val="24"/>
                <w:lang w:eastAsia="zh-CN"/>
              </w:rPr>
              <w:t>，</w:t>
            </w:r>
            <w:r>
              <w:rPr>
                <w:rFonts w:ascii="Times New Roman"/>
                <w:color w:val="auto"/>
                <w:szCs w:val="24"/>
              </w:rPr>
              <w:t>项目评价区域不属于自然保护区，无水源保护区，未发现国家及省级保护的野生动、植物资源，整个区域内生物多样性一般</w:t>
            </w:r>
            <w:r>
              <w:rPr>
                <w:rFonts w:hint="eastAsia" w:ascii="Times New Roman"/>
                <w:color w:val="auto"/>
                <w:szCs w:val="24"/>
              </w:rPr>
              <w:t>。</w:t>
            </w:r>
            <w:r>
              <w:rPr>
                <w:rFonts w:ascii="Times New Roman"/>
                <w:color w:val="auto"/>
                <w:szCs w:val="24"/>
              </w:rPr>
              <w:t>根据现场调查，</w:t>
            </w:r>
            <w:r>
              <w:rPr>
                <w:rFonts w:hint="eastAsia"/>
                <w:color w:val="auto"/>
                <w:szCs w:val="24"/>
                <w:lang w:val="en-US" w:eastAsia="zh-CN"/>
              </w:rPr>
              <w:t>主要保护目标为邻近项目场地的东岗村部分居民。</w:t>
            </w:r>
            <w:r>
              <w:rPr>
                <w:rFonts w:ascii="Times New Roman"/>
                <w:color w:val="auto"/>
                <w:szCs w:val="24"/>
              </w:rPr>
              <w:t>项目环境保护目标及其保护级别具体见表</w:t>
            </w:r>
            <w:r>
              <w:rPr>
                <w:rFonts w:hint="eastAsia" w:ascii="Times New Roman"/>
                <w:color w:val="auto"/>
                <w:szCs w:val="24"/>
              </w:rPr>
              <w:t>3-</w:t>
            </w:r>
            <w:r>
              <w:rPr>
                <w:rFonts w:hint="eastAsia"/>
                <w:color w:val="auto"/>
                <w:szCs w:val="24"/>
                <w:lang w:val="en-US" w:eastAsia="zh-CN"/>
              </w:rPr>
              <w:t>3</w:t>
            </w:r>
            <w:r>
              <w:rPr>
                <w:rFonts w:ascii="Times New Roman"/>
                <w:color w:val="auto"/>
                <w:szCs w:val="24"/>
              </w:rPr>
              <w:t>，</w:t>
            </w:r>
            <w:r>
              <w:rPr>
                <w:rFonts w:hint="eastAsia" w:hAnsi="宋体"/>
                <w:color w:val="auto"/>
                <w:spacing w:val="-4"/>
              </w:rPr>
              <w:t>具体见</w:t>
            </w:r>
            <w:r>
              <w:rPr>
                <w:rFonts w:hAnsi="宋体"/>
                <w:color w:val="auto"/>
                <w:spacing w:val="-4"/>
              </w:rPr>
              <w:t>环境保护目标</w:t>
            </w:r>
            <w:r>
              <w:rPr>
                <w:rFonts w:hint="eastAsia" w:hAnsi="宋体"/>
                <w:color w:val="auto"/>
                <w:spacing w:val="-4"/>
              </w:rPr>
              <w:t>图</w:t>
            </w:r>
            <w:r>
              <w:rPr>
                <w:rFonts w:hint="eastAsia"/>
                <w:color w:val="auto"/>
                <w:lang w:val="zh-CN"/>
              </w:rPr>
              <w:t>和项目周边环境示意图。</w:t>
            </w:r>
          </w:p>
          <w:p>
            <w:pPr>
              <w:pStyle w:val="27"/>
              <w:bidi w:val="0"/>
              <w:rPr>
                <w:color w:val="auto"/>
                <w:sz w:val="24"/>
                <w:szCs w:val="24"/>
                <w:lang w:val="zh-CN"/>
              </w:rPr>
            </w:pPr>
            <w:r>
              <w:rPr>
                <w:rFonts w:hint="default" w:ascii="Times New Roman" w:hAnsi="Times New Roman" w:cs="Times New Roman"/>
                <w:color w:val="auto"/>
                <w:sz w:val="24"/>
                <w:szCs w:val="24"/>
              </w:rPr>
              <w:t>表3-</w:t>
            </w: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rPr>
              <w:t xml:space="preserve"> 项目环境保护目标一览表</w:t>
            </w:r>
          </w:p>
          <w:tbl>
            <w:tblPr>
              <w:tblStyle w:val="2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507"/>
              <w:gridCol w:w="1355"/>
              <w:gridCol w:w="662"/>
              <w:gridCol w:w="1166"/>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5" w:type="pct"/>
                  <w:noWrap w:val="0"/>
                  <w:vAlign w:val="center"/>
                </w:tcPr>
                <w:p>
                  <w:pPr>
                    <w:pStyle w:val="28"/>
                    <w:bidi w:val="0"/>
                    <w:rPr>
                      <w:b/>
                      <w:bCs/>
                      <w:color w:val="auto"/>
                    </w:rPr>
                  </w:pPr>
                  <w:r>
                    <w:rPr>
                      <w:b/>
                      <w:bCs/>
                      <w:color w:val="auto"/>
                    </w:rPr>
                    <w:t>环境</w:t>
                  </w:r>
                </w:p>
                <w:p>
                  <w:pPr>
                    <w:pStyle w:val="28"/>
                    <w:bidi w:val="0"/>
                    <w:rPr>
                      <w:b/>
                      <w:bCs/>
                      <w:color w:val="auto"/>
                    </w:rPr>
                  </w:pPr>
                  <w:r>
                    <w:rPr>
                      <w:b/>
                      <w:bCs/>
                      <w:color w:val="auto"/>
                    </w:rPr>
                    <w:t>要素</w:t>
                  </w:r>
                </w:p>
              </w:tc>
              <w:tc>
                <w:tcPr>
                  <w:tcW w:w="946" w:type="pct"/>
                  <w:noWrap w:val="0"/>
                  <w:vAlign w:val="center"/>
                </w:tcPr>
                <w:p>
                  <w:pPr>
                    <w:pStyle w:val="28"/>
                    <w:bidi w:val="0"/>
                    <w:rPr>
                      <w:b/>
                      <w:bCs/>
                      <w:color w:val="auto"/>
                    </w:rPr>
                  </w:pPr>
                  <w:r>
                    <w:rPr>
                      <w:b/>
                      <w:bCs/>
                      <w:color w:val="auto"/>
                    </w:rPr>
                    <w:t>保护目标</w:t>
                  </w:r>
                </w:p>
              </w:tc>
              <w:tc>
                <w:tcPr>
                  <w:tcW w:w="851" w:type="pct"/>
                  <w:noWrap w:val="0"/>
                  <w:vAlign w:val="center"/>
                </w:tcPr>
                <w:p>
                  <w:pPr>
                    <w:pStyle w:val="28"/>
                    <w:bidi w:val="0"/>
                    <w:rPr>
                      <w:b/>
                      <w:bCs/>
                      <w:color w:val="auto"/>
                    </w:rPr>
                  </w:pPr>
                  <w:r>
                    <w:rPr>
                      <w:b/>
                      <w:bCs/>
                      <w:color w:val="auto"/>
                    </w:rPr>
                    <w:t>规模及现状</w:t>
                  </w:r>
                </w:p>
              </w:tc>
              <w:tc>
                <w:tcPr>
                  <w:tcW w:w="415" w:type="pct"/>
                  <w:noWrap w:val="0"/>
                  <w:vAlign w:val="center"/>
                </w:tcPr>
                <w:p>
                  <w:pPr>
                    <w:pStyle w:val="28"/>
                    <w:bidi w:val="0"/>
                    <w:rPr>
                      <w:b/>
                      <w:bCs/>
                      <w:color w:val="auto"/>
                    </w:rPr>
                  </w:pPr>
                  <w:r>
                    <w:rPr>
                      <w:b/>
                      <w:bCs/>
                      <w:color w:val="auto"/>
                    </w:rPr>
                    <w:t>位置</w:t>
                  </w:r>
                </w:p>
              </w:tc>
              <w:tc>
                <w:tcPr>
                  <w:tcW w:w="732" w:type="pct"/>
                  <w:noWrap w:val="0"/>
                  <w:vAlign w:val="center"/>
                </w:tcPr>
                <w:p>
                  <w:pPr>
                    <w:pStyle w:val="28"/>
                    <w:bidi w:val="0"/>
                    <w:rPr>
                      <w:b/>
                      <w:bCs/>
                      <w:color w:val="auto"/>
                    </w:rPr>
                  </w:pPr>
                  <w:r>
                    <w:rPr>
                      <w:b/>
                      <w:bCs/>
                      <w:color w:val="auto"/>
                    </w:rPr>
                    <w:t>与本工程</w:t>
                  </w:r>
                </w:p>
                <w:p>
                  <w:pPr>
                    <w:pStyle w:val="28"/>
                    <w:bidi w:val="0"/>
                    <w:rPr>
                      <w:b/>
                      <w:bCs/>
                      <w:color w:val="auto"/>
                    </w:rPr>
                  </w:pPr>
                  <w:r>
                    <w:rPr>
                      <w:b/>
                      <w:bCs/>
                      <w:color w:val="auto"/>
                    </w:rPr>
                    <w:t>距离（m）</w:t>
                  </w:r>
                </w:p>
              </w:tc>
              <w:tc>
                <w:tcPr>
                  <w:tcW w:w="1457" w:type="pct"/>
                  <w:noWrap w:val="0"/>
                  <w:vAlign w:val="center"/>
                </w:tcPr>
                <w:p>
                  <w:pPr>
                    <w:pStyle w:val="28"/>
                    <w:bidi w:val="0"/>
                    <w:rPr>
                      <w:b/>
                      <w:bCs/>
                      <w:color w:val="auto"/>
                    </w:rPr>
                  </w:pPr>
                  <w:r>
                    <w:rPr>
                      <w:b/>
                      <w:bCs/>
                      <w:color w:val="auto"/>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5" w:type="pct"/>
                  <w:noWrap w:val="0"/>
                  <w:vAlign w:val="center"/>
                </w:tcPr>
                <w:p>
                  <w:pPr>
                    <w:pStyle w:val="28"/>
                    <w:bidi w:val="0"/>
                    <w:rPr>
                      <w:color w:val="auto"/>
                    </w:rPr>
                  </w:pPr>
                  <w:r>
                    <w:rPr>
                      <w:rFonts w:hint="eastAsia"/>
                      <w:color w:val="auto"/>
                    </w:rPr>
                    <w:t>地</w:t>
                  </w:r>
                  <w:r>
                    <w:rPr>
                      <w:rFonts w:hint="eastAsia"/>
                      <w:color w:val="auto"/>
                      <w:lang w:eastAsia="zh-CN"/>
                    </w:rPr>
                    <w:t>表</w:t>
                  </w:r>
                  <w:r>
                    <w:rPr>
                      <w:rFonts w:hint="eastAsia"/>
                      <w:color w:val="auto"/>
                    </w:rPr>
                    <w:t>水</w:t>
                  </w:r>
                </w:p>
              </w:tc>
              <w:tc>
                <w:tcPr>
                  <w:tcW w:w="946" w:type="pct"/>
                  <w:noWrap w:val="0"/>
                  <w:vAlign w:val="center"/>
                </w:tcPr>
                <w:p>
                  <w:pPr>
                    <w:pStyle w:val="28"/>
                    <w:bidi w:val="0"/>
                    <w:rPr>
                      <w:rFonts w:hint="eastAsia"/>
                      <w:color w:val="auto"/>
                      <w:lang w:eastAsia="zh-CN"/>
                    </w:rPr>
                  </w:pPr>
                  <w:r>
                    <w:rPr>
                      <w:rFonts w:hint="eastAsia"/>
                      <w:color w:val="auto"/>
                      <w:lang w:val="en-US" w:eastAsia="zh-CN"/>
                    </w:rPr>
                    <w:t>湟水河</w:t>
                  </w:r>
                </w:p>
              </w:tc>
              <w:tc>
                <w:tcPr>
                  <w:tcW w:w="851" w:type="pct"/>
                  <w:noWrap w:val="0"/>
                  <w:vAlign w:val="center"/>
                </w:tcPr>
                <w:p>
                  <w:pPr>
                    <w:pStyle w:val="28"/>
                    <w:bidi w:val="0"/>
                    <w:rPr>
                      <w:rFonts w:hint="eastAsia"/>
                      <w:color w:val="auto"/>
                      <w:lang w:eastAsia="zh-CN"/>
                    </w:rPr>
                  </w:pPr>
                  <w:r>
                    <w:rPr>
                      <w:rFonts w:hint="eastAsia"/>
                      <w:color w:val="auto"/>
                      <w:lang w:eastAsia="zh-CN"/>
                    </w:rPr>
                    <w:t>小型</w:t>
                  </w:r>
                </w:p>
              </w:tc>
              <w:tc>
                <w:tcPr>
                  <w:tcW w:w="415" w:type="pct"/>
                  <w:noWrap w:val="0"/>
                  <w:vAlign w:val="center"/>
                </w:tcPr>
                <w:p>
                  <w:pPr>
                    <w:pStyle w:val="28"/>
                    <w:bidi w:val="0"/>
                    <w:rPr>
                      <w:rFonts w:hint="eastAsia"/>
                      <w:color w:val="auto"/>
                      <w:lang w:val="en-US" w:eastAsia="zh-CN"/>
                    </w:rPr>
                  </w:pPr>
                  <w:r>
                    <w:rPr>
                      <w:rFonts w:hint="eastAsia"/>
                      <w:color w:val="auto"/>
                      <w:lang w:val="en-US" w:eastAsia="zh-CN"/>
                    </w:rPr>
                    <w:t>北侧</w:t>
                  </w:r>
                </w:p>
              </w:tc>
              <w:tc>
                <w:tcPr>
                  <w:tcW w:w="732" w:type="pct"/>
                  <w:noWrap w:val="0"/>
                  <w:vAlign w:val="center"/>
                </w:tcPr>
                <w:p>
                  <w:pPr>
                    <w:pStyle w:val="28"/>
                    <w:bidi w:val="0"/>
                    <w:rPr>
                      <w:rFonts w:hint="default"/>
                      <w:color w:val="auto"/>
                      <w:lang w:val="en-US" w:eastAsia="zh-CN"/>
                    </w:rPr>
                  </w:pPr>
                  <w:r>
                    <w:rPr>
                      <w:rFonts w:hint="eastAsia"/>
                      <w:color w:val="auto"/>
                      <w:lang w:val="en-US" w:eastAsia="zh-CN"/>
                    </w:rPr>
                    <w:t>130</w:t>
                  </w:r>
                </w:p>
              </w:tc>
              <w:tc>
                <w:tcPr>
                  <w:tcW w:w="1457" w:type="pct"/>
                  <w:noWrap w:val="0"/>
                  <w:vAlign w:val="center"/>
                </w:tcPr>
                <w:p>
                  <w:pPr>
                    <w:pStyle w:val="28"/>
                    <w:bidi w:val="0"/>
                    <w:rPr>
                      <w:color w:val="auto"/>
                    </w:rPr>
                  </w:pPr>
                  <w:r>
                    <w:rPr>
                      <w:rFonts w:hint="eastAsia"/>
                      <w:color w:val="auto"/>
                    </w:rPr>
                    <w:t>《地</w:t>
                  </w:r>
                  <w:r>
                    <w:rPr>
                      <w:rFonts w:hint="eastAsia"/>
                      <w:color w:val="auto"/>
                      <w:lang w:eastAsia="zh-CN"/>
                    </w:rPr>
                    <w:t>表</w:t>
                  </w:r>
                  <w:r>
                    <w:rPr>
                      <w:rFonts w:hint="eastAsia"/>
                      <w:color w:val="auto"/>
                    </w:rPr>
                    <w:t>水质量标准》（</w:t>
                  </w:r>
                  <w:r>
                    <w:rPr>
                      <w:color w:val="auto"/>
                    </w:rPr>
                    <w:t>GB3838-2002</w:t>
                  </w:r>
                  <w:r>
                    <w:rPr>
                      <w:rFonts w:hint="eastAsia"/>
                      <w:color w:val="auto"/>
                    </w:rPr>
                    <w:t>）中</w:t>
                  </w:r>
                  <w:r>
                    <w:rPr>
                      <w:rFonts w:hint="eastAsia" w:ascii="宋体" w:hAnsi="宋体" w:eastAsia="宋体" w:cs="宋体"/>
                      <w:color w:val="auto"/>
                    </w:rPr>
                    <w:t>Ⅳ</w:t>
                  </w:r>
                  <w:r>
                    <w:rPr>
                      <w:rFonts w:hint="eastAsia"/>
                      <w:color w:val="auto"/>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5" w:type="pct"/>
                  <w:noWrap w:val="0"/>
                  <w:vAlign w:val="center"/>
                </w:tcPr>
                <w:p>
                  <w:pPr>
                    <w:pStyle w:val="28"/>
                    <w:bidi w:val="0"/>
                    <w:rPr>
                      <w:rFonts w:hint="eastAsia" w:eastAsia="宋体"/>
                      <w:color w:val="auto"/>
                      <w:lang w:val="en-US" w:eastAsia="zh-CN"/>
                    </w:rPr>
                  </w:pPr>
                  <w:r>
                    <w:rPr>
                      <w:rFonts w:hint="eastAsia"/>
                      <w:color w:val="auto"/>
                      <w:lang w:val="en-US" w:eastAsia="zh-CN"/>
                    </w:rPr>
                    <w:t>声环境</w:t>
                  </w:r>
                </w:p>
              </w:tc>
              <w:tc>
                <w:tcPr>
                  <w:tcW w:w="946" w:type="pct"/>
                  <w:noWrap w:val="0"/>
                  <w:vAlign w:val="center"/>
                </w:tcPr>
                <w:p>
                  <w:pPr>
                    <w:pStyle w:val="28"/>
                    <w:bidi w:val="0"/>
                    <w:rPr>
                      <w:rFonts w:hint="eastAsia"/>
                      <w:color w:val="auto"/>
                      <w:lang w:val="en-US" w:eastAsia="zh-CN"/>
                    </w:rPr>
                  </w:pPr>
                  <w:r>
                    <w:rPr>
                      <w:rFonts w:hint="eastAsia"/>
                      <w:color w:val="auto"/>
                      <w:lang w:val="en-US" w:eastAsia="zh-CN"/>
                    </w:rPr>
                    <w:t>东岗村</w:t>
                  </w:r>
                </w:p>
              </w:tc>
              <w:tc>
                <w:tcPr>
                  <w:tcW w:w="851" w:type="pct"/>
                  <w:noWrap w:val="0"/>
                  <w:vAlign w:val="center"/>
                </w:tcPr>
                <w:p>
                  <w:pPr>
                    <w:pStyle w:val="28"/>
                    <w:bidi w:val="0"/>
                    <w:rPr>
                      <w:rFonts w:hint="default"/>
                      <w:color w:val="auto"/>
                      <w:lang w:val="en-US" w:eastAsia="zh-CN"/>
                    </w:rPr>
                  </w:pPr>
                  <w:r>
                    <w:rPr>
                      <w:rFonts w:hint="eastAsia"/>
                      <w:color w:val="auto"/>
                      <w:lang w:val="en-US" w:eastAsia="zh-CN"/>
                    </w:rPr>
                    <w:t>50人</w:t>
                  </w:r>
                </w:p>
              </w:tc>
              <w:tc>
                <w:tcPr>
                  <w:tcW w:w="415" w:type="pct"/>
                  <w:noWrap w:val="0"/>
                  <w:vAlign w:val="center"/>
                </w:tcPr>
                <w:p>
                  <w:pPr>
                    <w:pStyle w:val="28"/>
                    <w:bidi w:val="0"/>
                    <w:rPr>
                      <w:rFonts w:hint="default"/>
                      <w:color w:val="auto"/>
                      <w:lang w:val="en-US" w:eastAsia="zh-CN"/>
                    </w:rPr>
                  </w:pPr>
                  <w:r>
                    <w:rPr>
                      <w:rFonts w:hint="eastAsia"/>
                      <w:color w:val="auto"/>
                      <w:lang w:val="en-US" w:eastAsia="zh-CN"/>
                    </w:rPr>
                    <w:t>南侧</w:t>
                  </w:r>
                </w:p>
              </w:tc>
              <w:tc>
                <w:tcPr>
                  <w:tcW w:w="732" w:type="pct"/>
                  <w:noWrap w:val="0"/>
                  <w:vAlign w:val="center"/>
                </w:tcPr>
                <w:p>
                  <w:pPr>
                    <w:pStyle w:val="28"/>
                    <w:bidi w:val="0"/>
                    <w:rPr>
                      <w:rFonts w:hint="default"/>
                      <w:color w:val="auto"/>
                      <w:lang w:val="en-US" w:eastAsia="zh-CN"/>
                    </w:rPr>
                  </w:pPr>
                  <w:r>
                    <w:rPr>
                      <w:rFonts w:hint="eastAsia"/>
                      <w:color w:val="auto"/>
                      <w:lang w:val="en-US" w:eastAsia="zh-CN"/>
                    </w:rPr>
                    <w:t>3</w:t>
                  </w:r>
                </w:p>
              </w:tc>
              <w:tc>
                <w:tcPr>
                  <w:tcW w:w="1457" w:type="pct"/>
                  <w:noWrap w:val="0"/>
                  <w:vAlign w:val="center"/>
                </w:tcPr>
                <w:p>
                  <w:pPr>
                    <w:pStyle w:val="28"/>
                    <w:bidi w:val="0"/>
                    <w:rPr>
                      <w:rFonts w:hint="default"/>
                      <w:color w:val="auto"/>
                      <w:lang w:val="en-US"/>
                    </w:rPr>
                  </w:pPr>
                  <w:r>
                    <w:rPr>
                      <w:rFonts w:hint="eastAsia"/>
                      <w:color w:val="auto"/>
                      <w:lang w:val="en-US" w:eastAsia="zh-CN"/>
                    </w:rPr>
                    <w:t>《声环境质量标准》（GB3096-2008）中的1类标准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5" w:type="pct"/>
                  <w:vMerge w:val="restart"/>
                  <w:noWrap w:val="0"/>
                  <w:vAlign w:val="center"/>
                </w:tcPr>
                <w:p>
                  <w:pPr>
                    <w:pStyle w:val="28"/>
                    <w:bidi w:val="0"/>
                    <w:rPr>
                      <w:rFonts w:hint="eastAsia"/>
                      <w:color w:val="auto"/>
                      <w:lang w:eastAsia="zh-CN"/>
                    </w:rPr>
                  </w:pPr>
                  <w:r>
                    <w:rPr>
                      <w:rFonts w:hint="eastAsia"/>
                      <w:color w:val="auto"/>
                      <w:lang w:val="en-US" w:eastAsia="zh-CN"/>
                    </w:rPr>
                    <w:t>环境空气</w:t>
                  </w:r>
                </w:p>
              </w:tc>
              <w:tc>
                <w:tcPr>
                  <w:tcW w:w="946" w:type="pct"/>
                  <w:noWrap w:val="0"/>
                  <w:vAlign w:val="center"/>
                </w:tcPr>
                <w:p>
                  <w:pPr>
                    <w:pStyle w:val="28"/>
                    <w:bidi w:val="0"/>
                    <w:rPr>
                      <w:rFonts w:hint="default"/>
                      <w:color w:val="auto"/>
                      <w:lang w:val="en-US" w:eastAsia="zh-CN"/>
                    </w:rPr>
                  </w:pPr>
                  <w:r>
                    <w:rPr>
                      <w:rFonts w:hint="eastAsia"/>
                      <w:color w:val="auto"/>
                      <w:lang w:val="en-US" w:eastAsia="zh-CN"/>
                    </w:rPr>
                    <w:t>东庄村</w:t>
                  </w:r>
                </w:p>
              </w:tc>
              <w:tc>
                <w:tcPr>
                  <w:tcW w:w="851" w:type="pct"/>
                  <w:noWrap w:val="0"/>
                  <w:vAlign w:val="center"/>
                </w:tcPr>
                <w:p>
                  <w:pPr>
                    <w:pStyle w:val="28"/>
                    <w:bidi w:val="0"/>
                    <w:rPr>
                      <w:rFonts w:hint="default"/>
                      <w:color w:val="auto"/>
                      <w:lang w:val="en-US" w:eastAsia="zh-CN"/>
                    </w:rPr>
                  </w:pPr>
                  <w:r>
                    <w:rPr>
                      <w:rFonts w:hint="eastAsia"/>
                      <w:color w:val="auto"/>
                      <w:lang w:val="en-US" w:eastAsia="zh-CN"/>
                    </w:rPr>
                    <w:t>80人</w:t>
                  </w:r>
                </w:p>
              </w:tc>
              <w:tc>
                <w:tcPr>
                  <w:tcW w:w="415" w:type="pct"/>
                  <w:noWrap w:val="0"/>
                  <w:vAlign w:val="center"/>
                </w:tcPr>
                <w:p>
                  <w:pPr>
                    <w:pStyle w:val="28"/>
                    <w:bidi w:val="0"/>
                    <w:rPr>
                      <w:rFonts w:hint="default"/>
                      <w:color w:val="auto"/>
                      <w:lang w:val="en-US" w:eastAsia="zh-CN"/>
                    </w:rPr>
                  </w:pPr>
                  <w:r>
                    <w:rPr>
                      <w:rFonts w:hint="eastAsia"/>
                      <w:color w:val="auto"/>
                      <w:lang w:val="en-US" w:eastAsia="zh-CN"/>
                    </w:rPr>
                    <w:t>北侧</w:t>
                  </w:r>
                </w:p>
              </w:tc>
              <w:tc>
                <w:tcPr>
                  <w:tcW w:w="732" w:type="pct"/>
                  <w:noWrap w:val="0"/>
                  <w:vAlign w:val="center"/>
                </w:tcPr>
                <w:p>
                  <w:pPr>
                    <w:pStyle w:val="28"/>
                    <w:bidi w:val="0"/>
                    <w:rPr>
                      <w:rFonts w:hint="default"/>
                      <w:color w:val="auto"/>
                      <w:lang w:val="en-US" w:eastAsia="zh-CN"/>
                    </w:rPr>
                  </w:pPr>
                  <w:r>
                    <w:rPr>
                      <w:rFonts w:hint="eastAsia"/>
                      <w:color w:val="auto"/>
                      <w:lang w:val="en-US" w:eastAsia="zh-CN"/>
                    </w:rPr>
                    <w:t>439</w:t>
                  </w:r>
                </w:p>
              </w:tc>
              <w:tc>
                <w:tcPr>
                  <w:tcW w:w="1457" w:type="pct"/>
                  <w:vMerge w:val="restart"/>
                  <w:noWrap w:val="0"/>
                  <w:vAlign w:val="center"/>
                </w:tcPr>
                <w:p>
                  <w:pPr>
                    <w:pStyle w:val="28"/>
                    <w:bidi w:val="0"/>
                    <w:rPr>
                      <w:rFonts w:hint="eastAsia"/>
                      <w:color w:val="auto"/>
                      <w:lang w:eastAsia="zh-CN"/>
                    </w:rPr>
                  </w:pPr>
                  <w:r>
                    <w:rPr>
                      <w:color w:val="auto"/>
                    </w:rPr>
                    <w:t>《环境空气质量标准》（GB3095-2012）中二级标准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5" w:type="pct"/>
                  <w:vMerge w:val="continue"/>
                  <w:noWrap w:val="0"/>
                  <w:vAlign w:val="center"/>
                </w:tcPr>
                <w:p>
                  <w:pPr>
                    <w:pStyle w:val="28"/>
                    <w:bidi w:val="0"/>
                    <w:rPr>
                      <w:rFonts w:hint="eastAsia"/>
                      <w:color w:val="auto"/>
                      <w:lang w:eastAsia="zh-CN"/>
                    </w:rPr>
                  </w:pPr>
                </w:p>
              </w:tc>
              <w:tc>
                <w:tcPr>
                  <w:tcW w:w="946" w:type="pct"/>
                  <w:noWrap w:val="0"/>
                  <w:vAlign w:val="center"/>
                </w:tcPr>
                <w:p>
                  <w:pPr>
                    <w:pStyle w:val="28"/>
                    <w:bidi w:val="0"/>
                    <w:rPr>
                      <w:rFonts w:hint="default"/>
                      <w:color w:val="auto"/>
                      <w:lang w:val="en-US" w:eastAsia="zh-CN"/>
                    </w:rPr>
                  </w:pPr>
                  <w:r>
                    <w:rPr>
                      <w:rFonts w:hint="eastAsia"/>
                      <w:color w:val="auto"/>
                      <w:lang w:val="en-US" w:eastAsia="zh-CN"/>
                    </w:rPr>
                    <w:t>东岗村</w:t>
                  </w:r>
                </w:p>
              </w:tc>
              <w:tc>
                <w:tcPr>
                  <w:tcW w:w="851" w:type="pct"/>
                  <w:noWrap w:val="0"/>
                  <w:vAlign w:val="center"/>
                </w:tcPr>
                <w:p>
                  <w:pPr>
                    <w:pStyle w:val="28"/>
                    <w:bidi w:val="0"/>
                    <w:rPr>
                      <w:rFonts w:hint="default"/>
                      <w:color w:val="auto"/>
                      <w:lang w:val="en-US" w:eastAsia="zh-CN"/>
                    </w:rPr>
                  </w:pPr>
                  <w:r>
                    <w:rPr>
                      <w:rFonts w:hint="eastAsia"/>
                      <w:color w:val="auto"/>
                      <w:lang w:val="en-US" w:eastAsia="zh-CN"/>
                    </w:rPr>
                    <w:t>900人</w:t>
                  </w:r>
                </w:p>
              </w:tc>
              <w:tc>
                <w:tcPr>
                  <w:tcW w:w="415" w:type="pct"/>
                  <w:noWrap w:val="0"/>
                  <w:vAlign w:val="center"/>
                </w:tcPr>
                <w:p>
                  <w:pPr>
                    <w:pStyle w:val="28"/>
                    <w:bidi w:val="0"/>
                    <w:rPr>
                      <w:rFonts w:hint="default"/>
                      <w:color w:val="auto"/>
                      <w:lang w:val="en-US" w:eastAsia="zh-CN"/>
                    </w:rPr>
                  </w:pPr>
                  <w:r>
                    <w:rPr>
                      <w:rFonts w:hint="eastAsia"/>
                      <w:color w:val="auto"/>
                      <w:lang w:val="en-US" w:eastAsia="zh-CN"/>
                    </w:rPr>
                    <w:t>南侧</w:t>
                  </w:r>
                </w:p>
              </w:tc>
              <w:tc>
                <w:tcPr>
                  <w:tcW w:w="732" w:type="pct"/>
                  <w:noWrap w:val="0"/>
                  <w:vAlign w:val="center"/>
                </w:tcPr>
                <w:p>
                  <w:pPr>
                    <w:pStyle w:val="28"/>
                    <w:bidi w:val="0"/>
                    <w:rPr>
                      <w:rFonts w:hint="default"/>
                      <w:color w:val="auto"/>
                      <w:lang w:val="en-US" w:eastAsia="zh-CN"/>
                    </w:rPr>
                  </w:pPr>
                  <w:r>
                    <w:rPr>
                      <w:rFonts w:hint="eastAsia"/>
                      <w:color w:val="auto"/>
                      <w:lang w:val="en-US" w:eastAsia="zh-CN"/>
                    </w:rPr>
                    <w:t>3</w:t>
                  </w:r>
                </w:p>
              </w:tc>
              <w:tc>
                <w:tcPr>
                  <w:tcW w:w="1457" w:type="pct"/>
                  <w:vMerge w:val="continue"/>
                  <w:noWrap w:val="0"/>
                  <w:vAlign w:val="center"/>
                </w:tcPr>
                <w:p>
                  <w:pPr>
                    <w:pStyle w:val="28"/>
                    <w:bidi w:val="0"/>
                    <w:rPr>
                      <w:color w:val="auto"/>
                    </w:rPr>
                  </w:pPr>
                </w:p>
              </w:tc>
            </w:tr>
          </w:tbl>
          <w:p>
            <w:pPr>
              <w:keepNext/>
              <w:keepLines/>
              <w:pageBreakBefore w:val="0"/>
              <w:bidi w:val="0"/>
              <w:adjustRightInd w:val="0"/>
              <w:snapToGrid w:val="0"/>
              <w:jc w:val="center"/>
              <w:rPr>
                <w:rFonts w:ascii="宋体" w:hAnsi="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800" w:type="dxa"/>
            <w:noWrap w:val="0"/>
            <w:tcMar>
              <w:left w:w="28" w:type="dxa"/>
              <w:right w:w="28" w:type="dxa"/>
            </w:tcMar>
            <w:vAlign w:val="center"/>
          </w:tcPr>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污染</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物排</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放控</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制标</w:t>
            </w:r>
          </w:p>
          <w:p>
            <w:pPr>
              <w:keepNext/>
              <w:keepLines/>
              <w:pageBreakBefore w:val="0"/>
              <w:bidi w:val="0"/>
              <w:adjustRightInd w:val="0"/>
              <w:snapToGrid w:val="0"/>
              <w:jc w:val="center"/>
              <w:rPr>
                <w:rFonts w:ascii="宋体" w:hAnsi="宋体" w:cs="宋体"/>
                <w:color w:val="auto"/>
                <w:kern w:val="0"/>
                <w:szCs w:val="21"/>
              </w:rPr>
            </w:pPr>
            <w:r>
              <w:rPr>
                <w:rFonts w:hint="eastAsia" w:ascii="宋体" w:hAnsi="宋体" w:cs="宋体"/>
                <w:color w:val="auto"/>
                <w:kern w:val="0"/>
                <w:szCs w:val="21"/>
              </w:rPr>
              <w:t>准</w:t>
            </w:r>
          </w:p>
        </w:tc>
        <w:tc>
          <w:tcPr>
            <w:tcW w:w="8190" w:type="dxa"/>
            <w:noWrap w:val="0"/>
            <w:vAlign w:val="center"/>
          </w:tcPr>
          <w:p>
            <w:pPr>
              <w:keepNext/>
              <w:keepLines/>
              <w:pageBreakBefore w:val="0"/>
              <w:bidi w:val="0"/>
              <w:spacing w:line="360" w:lineRule="auto"/>
              <w:ind w:firstLine="482" w:firstLineChars="200"/>
              <w:rPr>
                <w:rFonts w:hint="default" w:ascii="Times New Roman" w:hAnsi="Times New Roman" w:cs="Times New Roman"/>
                <w:b/>
                <w:bCs/>
                <w:color w:val="auto"/>
                <w:sz w:val="24"/>
              </w:rPr>
            </w:pPr>
            <w:r>
              <w:rPr>
                <w:rFonts w:hint="default" w:ascii="Times New Roman" w:hAnsi="Times New Roman" w:cs="Times New Roman"/>
                <w:b/>
                <w:bCs/>
                <w:color w:val="auto"/>
                <w:sz w:val="24"/>
                <w:lang w:val="en-US" w:eastAsia="zh-CN"/>
              </w:rPr>
              <w:t>1、大气污染物排放标准</w:t>
            </w:r>
          </w:p>
          <w:p>
            <w:pPr>
              <w:keepNext/>
              <w:keepLines/>
              <w:pageBreakBefore w:val="0"/>
              <w:bidi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（1）施工期粉尘排放标准限值要求</w:t>
            </w:r>
          </w:p>
          <w:p>
            <w:pPr>
              <w:keepNext/>
              <w:keepLines/>
              <w:pageBreakBefore w:val="0"/>
              <w:tabs>
                <w:tab w:val="left" w:pos="5999"/>
              </w:tabs>
              <w:topLinePunct/>
              <w:bidi w:val="0"/>
              <w:adjustRightInd w:val="0"/>
              <w:spacing w:line="360" w:lineRule="auto"/>
              <w:ind w:firstLine="480" w:firstLineChars="200"/>
              <w:rPr>
                <w:rFonts w:hint="default" w:ascii="Times New Roman" w:hAnsi="Times New Roman" w:cs="Times New Roman"/>
                <w:color w:val="auto"/>
                <w:sz w:val="24"/>
                <w:szCs w:val="22"/>
              </w:rPr>
            </w:pPr>
            <w:r>
              <w:rPr>
                <w:rFonts w:hint="default" w:ascii="Times New Roman" w:hAnsi="Times New Roman" w:cs="Times New Roman"/>
                <w:color w:val="auto"/>
                <w:sz w:val="24"/>
                <w:szCs w:val="22"/>
              </w:rPr>
              <w:t>施工期粉尘执行《大气污染物综合排放标准》（GB16297-1996）表2新污染源大气污染物无组织排放限值，见表</w:t>
            </w:r>
            <w:r>
              <w:rPr>
                <w:rFonts w:hint="eastAsia" w:ascii="Times New Roman" w:hAnsi="Times New Roman" w:cs="Times New Roman"/>
                <w:color w:val="auto"/>
                <w:sz w:val="24"/>
                <w:szCs w:val="22"/>
                <w:lang w:val="en-US" w:eastAsia="zh-CN"/>
              </w:rPr>
              <w:t>3</w:t>
            </w:r>
            <w:r>
              <w:rPr>
                <w:rFonts w:hint="default" w:ascii="Times New Roman" w:hAnsi="Times New Roman" w:cs="Times New Roman"/>
                <w:color w:val="auto"/>
                <w:sz w:val="24"/>
                <w:szCs w:val="22"/>
              </w:rPr>
              <w:t>-</w:t>
            </w:r>
            <w:r>
              <w:rPr>
                <w:rFonts w:hint="eastAsia" w:cs="Times New Roman"/>
                <w:color w:val="auto"/>
                <w:sz w:val="24"/>
                <w:szCs w:val="22"/>
                <w:lang w:val="en-US" w:eastAsia="zh-CN"/>
              </w:rPr>
              <w:t>4</w:t>
            </w:r>
            <w:r>
              <w:rPr>
                <w:rFonts w:hint="default" w:ascii="Times New Roman" w:hAnsi="Times New Roman" w:cs="Times New Roman"/>
                <w:color w:val="auto"/>
                <w:sz w:val="24"/>
                <w:szCs w:val="22"/>
              </w:rPr>
              <w:t>。</w:t>
            </w:r>
          </w:p>
          <w:p>
            <w:pPr>
              <w:pStyle w:val="20"/>
              <w:keepNext w:val="0"/>
              <w:keepLines w:val="0"/>
              <w:pageBreakBefore w:val="0"/>
              <w:widowControl w:val="0"/>
              <w:kinsoku/>
              <w:wordWrap/>
              <w:overflowPunct/>
              <w:topLinePunct w:val="0"/>
              <w:autoSpaceDE/>
              <w:autoSpaceDN/>
              <w:bidi w:val="0"/>
              <w:adjustRightInd/>
              <w:snapToGrid/>
              <w:spacing w:after="0" w:line="360" w:lineRule="auto"/>
              <w:ind w:left="0" w:leftChars="0"/>
              <w:jc w:val="center"/>
              <w:textAlignment w:val="auto"/>
              <w:rPr>
                <w:rFonts w:hint="default" w:ascii="Times New Roman" w:hAnsi="Times New Roman" w:eastAsia="宋体" w:cs="Times New Roman"/>
                <w:b/>
                <w:bCs/>
                <w:lang w:val="en-US" w:eastAsia="zh-CN"/>
              </w:rPr>
            </w:pPr>
            <w:r>
              <w:rPr>
                <w:rFonts w:hint="default" w:ascii="Times New Roman" w:hAnsi="Times New Roman" w:cs="Times New Roman"/>
                <w:b/>
                <w:bCs/>
                <w:color w:val="auto"/>
                <w:sz w:val="24"/>
                <w:szCs w:val="22"/>
                <w:lang w:val="en-US" w:eastAsia="zh-CN"/>
              </w:rPr>
              <w:t>表3-4 施工期大气污染物排放限值</w:t>
            </w:r>
          </w:p>
          <w:tbl>
            <w:tblPr>
              <w:tblStyle w:val="21"/>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3282"/>
              <w:gridCol w:w="26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291" w:type="pct"/>
                  <w:vMerge w:val="restar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污染物名称</w:t>
                  </w:r>
                </w:p>
              </w:tc>
              <w:tc>
                <w:tcPr>
                  <w:tcW w:w="3708" w:type="pct"/>
                  <w:gridSpan w:val="2"/>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无组织排放监控浓度限值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291" w:type="pct"/>
                  <w:vMerge w:val="continue"/>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b/>
                      <w:bCs/>
                      <w:color w:val="auto"/>
                      <w:szCs w:val="21"/>
                    </w:rPr>
                  </w:pPr>
                </w:p>
              </w:tc>
              <w:tc>
                <w:tcPr>
                  <w:tcW w:w="2066" w:type="pc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监控点</w:t>
                  </w:r>
                </w:p>
              </w:tc>
              <w:tc>
                <w:tcPr>
                  <w:tcW w:w="1642" w:type="pc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浓度（mg/m</w:t>
                  </w:r>
                  <w:r>
                    <w:rPr>
                      <w:rFonts w:hint="default" w:ascii="Times New Roman" w:hAnsi="Times New Roman" w:cs="Times New Roman"/>
                      <w:b/>
                      <w:bCs/>
                      <w:color w:val="auto"/>
                      <w:szCs w:val="21"/>
                      <w:vertAlign w:val="superscript"/>
                    </w:rPr>
                    <w:t>3</w:t>
                  </w:r>
                  <w:r>
                    <w:rPr>
                      <w:rFonts w:hint="default" w:ascii="Times New Roman" w:hAnsi="Times New Roman" w:cs="Times New Roman"/>
                      <w:b/>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291" w:type="pc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颗粒物</w:t>
                  </w:r>
                </w:p>
              </w:tc>
              <w:tc>
                <w:tcPr>
                  <w:tcW w:w="2066" w:type="pc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周界外浓度最高点</w:t>
                  </w:r>
                </w:p>
              </w:tc>
              <w:tc>
                <w:tcPr>
                  <w:tcW w:w="1642" w:type="pct"/>
                  <w:tcBorders>
                    <w:tl2br w:val="nil"/>
                    <w:tr2bl w:val="nil"/>
                  </w:tcBorders>
                  <w:noWrap w:val="0"/>
                  <w:vAlign w:val="center"/>
                </w:tcPr>
                <w:p>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r>
          </w:tbl>
          <w:p>
            <w:pPr>
              <w:keepNext/>
              <w:keepLines/>
              <w:pageBreakBefore w:val="0"/>
              <w:numPr>
                <w:ilvl w:val="0"/>
                <w:numId w:val="1"/>
              </w:numPr>
              <w:bidi w:val="0"/>
              <w:spacing w:line="360" w:lineRule="auto"/>
              <w:ind w:firstLine="480" w:firstLineChars="200"/>
              <w:rPr>
                <w:rFonts w:hint="eastAsia"/>
                <w:b w:val="0"/>
                <w:bCs w:val="0"/>
                <w:color w:val="auto"/>
                <w:sz w:val="24"/>
                <w:lang w:val="en-US" w:eastAsia="zh-CN"/>
              </w:rPr>
            </w:pPr>
            <w:r>
              <w:rPr>
                <w:rFonts w:hint="eastAsia"/>
                <w:b w:val="0"/>
                <w:bCs w:val="0"/>
                <w:color w:val="auto"/>
                <w:sz w:val="24"/>
                <w:lang w:val="en-US" w:eastAsia="zh-CN"/>
              </w:rPr>
              <w:t>运营期</w:t>
            </w:r>
          </w:p>
          <w:p>
            <w:pPr>
              <w:pStyle w:val="60"/>
              <w:bidi w:val="0"/>
              <w:rPr>
                <w:rFonts w:hint="default"/>
                <w:color w:val="auto"/>
                <w:lang w:val="en-US" w:eastAsia="zh-CN"/>
              </w:rPr>
            </w:pPr>
            <w:r>
              <w:rPr>
                <w:rFonts w:hint="default"/>
                <w:color w:val="auto"/>
                <w:lang w:val="en-US" w:eastAsia="zh-CN"/>
              </w:rPr>
              <w:t>天然气锅炉废气执行《锅炉大气污染物排放标准》（GB13271-2014）表3中的特别排放标准，</w:t>
            </w:r>
            <w:r>
              <w:rPr>
                <w:rFonts w:hint="eastAsia"/>
                <w:color w:val="auto"/>
                <w:lang w:val="en-US" w:eastAsia="zh-CN"/>
              </w:rPr>
              <w:t>其中</w:t>
            </w:r>
            <w:r>
              <w:rPr>
                <w:rFonts w:hint="default"/>
                <w:color w:val="auto"/>
                <w:lang w:val="en-US" w:eastAsia="zh-CN"/>
              </w:rPr>
              <w:t>NOx</w:t>
            </w:r>
            <w:r>
              <w:rPr>
                <w:rFonts w:hint="eastAsia"/>
                <w:color w:val="auto"/>
                <w:lang w:val="en-US" w:eastAsia="zh-CN"/>
              </w:rPr>
              <w:t>排放执行海东市大气污染防治相关要求，为</w:t>
            </w:r>
            <w:r>
              <w:rPr>
                <w:rFonts w:hint="default"/>
                <w:color w:val="auto"/>
                <w:lang w:val="en-US" w:eastAsia="zh-CN"/>
              </w:rPr>
              <w:t>30mg/m</w:t>
            </w:r>
            <w:r>
              <w:rPr>
                <w:rFonts w:hint="default"/>
                <w:color w:val="auto"/>
                <w:vertAlign w:val="superscript"/>
                <w:lang w:val="en-US" w:eastAsia="zh-CN"/>
              </w:rPr>
              <w:t>3</w:t>
            </w:r>
            <w:r>
              <w:rPr>
                <w:rFonts w:hint="eastAsia"/>
                <w:color w:val="auto"/>
                <w:lang w:val="en-US" w:eastAsia="zh-CN"/>
              </w:rPr>
              <w:t>；化学实验室中非甲烷总烃排放执行《大气污染物综合排放标准》（GB16297-1996）表2标准；</w:t>
            </w:r>
            <w:r>
              <w:rPr>
                <w:rFonts w:hint="default"/>
                <w:color w:val="auto"/>
                <w:lang w:val="en-US" w:eastAsia="zh-CN"/>
              </w:rPr>
              <w:t>食堂油烟</w:t>
            </w:r>
            <w:r>
              <w:rPr>
                <w:rFonts w:hint="eastAsia"/>
                <w:color w:val="auto"/>
                <w:lang w:val="en-US" w:eastAsia="zh-CN"/>
              </w:rPr>
              <w:t>参考</w:t>
            </w:r>
            <w:r>
              <w:rPr>
                <w:rFonts w:hint="default"/>
                <w:color w:val="auto"/>
                <w:lang w:val="en-US" w:eastAsia="zh-CN"/>
              </w:rPr>
              <w:t>执行《饮食业油烟排放标准(试行)》(GB18483-2001)</w:t>
            </w:r>
            <w:r>
              <w:rPr>
                <w:rFonts w:hint="eastAsia"/>
                <w:color w:val="auto"/>
                <w:lang w:val="en-US" w:eastAsia="zh-CN"/>
              </w:rPr>
              <w:t>大</w:t>
            </w:r>
            <w:r>
              <w:rPr>
                <w:rFonts w:hint="default"/>
                <w:color w:val="auto"/>
                <w:lang w:val="en-US" w:eastAsia="zh-CN"/>
              </w:rPr>
              <w:t>型规模标准限值</w:t>
            </w:r>
            <w:r>
              <w:rPr>
                <w:rFonts w:hint="eastAsia"/>
                <w:color w:val="auto"/>
                <w:lang w:val="en-US" w:eastAsia="zh-CN"/>
              </w:rPr>
              <w:t>。</w:t>
            </w:r>
          </w:p>
          <w:p>
            <w:pPr>
              <w:pStyle w:val="20"/>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color w:val="auto"/>
                <w:lang w:val="en-US" w:eastAsia="zh-CN"/>
              </w:rPr>
            </w:pPr>
            <w:r>
              <w:rPr>
                <w:rFonts w:hint="default" w:ascii="Times New Roman" w:hAnsi="Times New Roman" w:cs="Times New Roman"/>
                <w:b/>
                <w:bCs/>
                <w:color w:val="auto"/>
                <w:lang w:val="en-US" w:eastAsia="zh-CN"/>
              </w:rPr>
              <w:t>表3-5  大气污染物排放浓度限值</w:t>
            </w:r>
          </w:p>
          <w:tbl>
            <w:tblPr>
              <w:tblStyle w:val="21"/>
              <w:tblW w:w="4996" w:type="pct"/>
              <w:jc w:val="center"/>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57" w:type="dxa"/>
                <w:bottom w:w="0" w:type="dxa"/>
                <w:right w:w="57" w:type="dxa"/>
              </w:tblCellMar>
            </w:tblPr>
            <w:tblGrid>
              <w:gridCol w:w="2154"/>
              <w:gridCol w:w="1488"/>
              <w:gridCol w:w="1441"/>
              <w:gridCol w:w="1312"/>
              <w:gridCol w:w="1543"/>
            </w:tblGrid>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540" w:hRule="atLeast"/>
                <w:jc w:val="center"/>
              </w:trPr>
              <w:tc>
                <w:tcPr>
                  <w:tcW w:w="1357" w:type="pct"/>
                  <w:tcMar>
                    <w:left w:w="57" w:type="dxa"/>
                    <w:right w:w="57" w:type="dxa"/>
                  </w:tcMar>
                  <w:vAlign w:val="center"/>
                </w:tcPr>
                <w:p>
                  <w:pPr>
                    <w:pStyle w:val="28"/>
                    <w:keepNext/>
                    <w:keepLines/>
                    <w:pageBreakBefore w:val="0"/>
                    <w:overflowPunct/>
                    <w:bidi w:val="0"/>
                    <w:rPr>
                      <w:rFonts w:hint="eastAsia"/>
                      <w:b/>
                      <w:bCs/>
                      <w:color w:val="auto"/>
                      <w:sz w:val="21"/>
                      <w:szCs w:val="21"/>
                      <w:lang w:eastAsia="zh-CN"/>
                    </w:rPr>
                  </w:pPr>
                  <w:r>
                    <w:rPr>
                      <w:rFonts w:hint="eastAsia"/>
                      <w:b/>
                      <w:bCs/>
                      <w:color w:val="auto"/>
                      <w:sz w:val="21"/>
                      <w:szCs w:val="21"/>
                      <w:lang w:val="en-US" w:eastAsia="zh-CN"/>
                    </w:rPr>
                    <w:t>标准来源</w:t>
                  </w:r>
                </w:p>
              </w:tc>
              <w:tc>
                <w:tcPr>
                  <w:tcW w:w="937" w:type="pct"/>
                  <w:tcMar>
                    <w:left w:w="57" w:type="dxa"/>
                    <w:right w:w="57" w:type="dxa"/>
                  </w:tcMar>
                  <w:vAlign w:val="center"/>
                </w:tcPr>
                <w:p>
                  <w:pPr>
                    <w:pStyle w:val="28"/>
                    <w:keepNext/>
                    <w:keepLines/>
                    <w:pageBreakBefore w:val="0"/>
                    <w:overflowPunct/>
                    <w:bidi w:val="0"/>
                    <w:rPr>
                      <w:rFonts w:hint="eastAsia"/>
                      <w:b/>
                      <w:bCs/>
                      <w:color w:val="auto"/>
                      <w:sz w:val="21"/>
                      <w:szCs w:val="21"/>
                    </w:rPr>
                  </w:pPr>
                  <w:r>
                    <w:rPr>
                      <w:rFonts w:hint="eastAsia"/>
                      <w:b/>
                      <w:bCs/>
                      <w:color w:val="auto"/>
                      <w:sz w:val="21"/>
                      <w:szCs w:val="21"/>
                    </w:rPr>
                    <w:t>污染物名称</w:t>
                  </w:r>
                </w:p>
              </w:tc>
              <w:tc>
                <w:tcPr>
                  <w:tcW w:w="907" w:type="pct"/>
                  <w:tcMar>
                    <w:left w:w="57" w:type="dxa"/>
                    <w:right w:w="57" w:type="dxa"/>
                  </w:tcMar>
                  <w:vAlign w:val="center"/>
                </w:tcPr>
                <w:p>
                  <w:pPr>
                    <w:pStyle w:val="28"/>
                    <w:keepNext/>
                    <w:keepLines/>
                    <w:pageBreakBefore w:val="0"/>
                    <w:overflowPunct/>
                    <w:bidi w:val="0"/>
                    <w:rPr>
                      <w:rFonts w:hint="eastAsia"/>
                      <w:b/>
                      <w:bCs/>
                      <w:color w:val="auto"/>
                      <w:sz w:val="21"/>
                      <w:szCs w:val="21"/>
                      <w:lang w:val="en-US" w:eastAsia="zh-CN"/>
                    </w:rPr>
                  </w:pPr>
                  <w:r>
                    <w:rPr>
                      <w:rFonts w:hint="eastAsia"/>
                      <w:b/>
                      <w:bCs/>
                      <w:color w:val="auto"/>
                      <w:sz w:val="21"/>
                      <w:szCs w:val="21"/>
                      <w:lang w:val="en-US" w:eastAsia="zh-CN"/>
                    </w:rPr>
                    <w:t>污染物排放限值（mg/m³）</w:t>
                  </w:r>
                </w:p>
              </w:tc>
              <w:tc>
                <w:tcPr>
                  <w:tcW w:w="826" w:type="pct"/>
                  <w:tcMar>
                    <w:left w:w="57" w:type="dxa"/>
                    <w:right w:w="57" w:type="dxa"/>
                  </w:tcMar>
                  <w:vAlign w:val="center"/>
                </w:tcPr>
                <w:p>
                  <w:pPr>
                    <w:pStyle w:val="28"/>
                    <w:keepNext/>
                    <w:keepLines/>
                    <w:pageBreakBefore w:val="0"/>
                    <w:overflowPunct/>
                    <w:bidi w:val="0"/>
                    <w:rPr>
                      <w:rFonts w:hint="eastAsia"/>
                      <w:b/>
                      <w:bCs/>
                      <w:color w:val="auto"/>
                      <w:sz w:val="21"/>
                      <w:szCs w:val="21"/>
                    </w:rPr>
                  </w:pPr>
                  <w:r>
                    <w:rPr>
                      <w:rFonts w:hint="eastAsia"/>
                      <w:b/>
                      <w:bCs/>
                      <w:color w:val="auto"/>
                      <w:sz w:val="21"/>
                      <w:szCs w:val="21"/>
                      <w:lang w:val="en-US" w:eastAsia="zh-CN"/>
                    </w:rPr>
                    <w:t xml:space="preserve">最高允许排放速率 </w:t>
                  </w:r>
                </w:p>
                <w:p>
                  <w:pPr>
                    <w:pStyle w:val="28"/>
                    <w:keepNext/>
                    <w:keepLines/>
                    <w:pageBreakBefore w:val="0"/>
                    <w:overflowPunct/>
                    <w:bidi w:val="0"/>
                    <w:rPr>
                      <w:rFonts w:hint="eastAsia"/>
                      <w:b/>
                      <w:bCs/>
                      <w:color w:val="auto"/>
                      <w:sz w:val="21"/>
                      <w:szCs w:val="21"/>
                    </w:rPr>
                  </w:pPr>
                  <w:r>
                    <w:rPr>
                      <w:rFonts w:hint="eastAsia"/>
                      <w:b/>
                      <w:bCs/>
                      <w:color w:val="auto"/>
                      <w:sz w:val="21"/>
                      <w:szCs w:val="21"/>
                      <w:lang w:val="en-US" w:eastAsia="zh-CN"/>
                    </w:rPr>
                    <w:t xml:space="preserve">（kg/h） </w:t>
                  </w:r>
                </w:p>
              </w:tc>
              <w:tc>
                <w:tcPr>
                  <w:tcW w:w="971" w:type="pct"/>
                  <w:tcMar>
                    <w:left w:w="57" w:type="dxa"/>
                    <w:right w:w="57" w:type="dxa"/>
                  </w:tcMar>
                  <w:vAlign w:val="center"/>
                </w:tcPr>
                <w:p>
                  <w:pPr>
                    <w:pStyle w:val="28"/>
                    <w:keepNext/>
                    <w:keepLines/>
                    <w:pageBreakBefore w:val="0"/>
                    <w:overflowPunct/>
                    <w:bidi w:val="0"/>
                    <w:rPr>
                      <w:rFonts w:hint="eastAsia"/>
                      <w:b/>
                      <w:bCs/>
                      <w:color w:val="auto"/>
                      <w:sz w:val="21"/>
                      <w:szCs w:val="21"/>
                      <w:lang w:val="en-US" w:eastAsia="zh-CN"/>
                    </w:rPr>
                  </w:pPr>
                  <w:r>
                    <w:rPr>
                      <w:rFonts w:hint="eastAsia"/>
                      <w:b/>
                      <w:bCs/>
                      <w:color w:val="auto"/>
                      <w:sz w:val="21"/>
                      <w:szCs w:val="21"/>
                      <w:lang w:val="en-US" w:eastAsia="zh-CN"/>
                    </w:rPr>
                    <w:t xml:space="preserve">无组织排放监 </w:t>
                  </w:r>
                </w:p>
                <w:p>
                  <w:pPr>
                    <w:pStyle w:val="28"/>
                    <w:keepNext/>
                    <w:keepLines/>
                    <w:pageBreakBefore w:val="0"/>
                    <w:overflowPunct/>
                    <w:bidi w:val="0"/>
                    <w:rPr>
                      <w:rFonts w:hint="eastAsia"/>
                      <w:b/>
                      <w:bCs/>
                      <w:color w:val="auto"/>
                      <w:sz w:val="21"/>
                      <w:szCs w:val="21"/>
                      <w:lang w:val="en-US" w:eastAsia="zh-CN"/>
                    </w:rPr>
                  </w:pPr>
                  <w:r>
                    <w:rPr>
                      <w:rFonts w:hint="eastAsia"/>
                      <w:b/>
                      <w:bCs/>
                      <w:color w:val="auto"/>
                      <w:sz w:val="21"/>
                      <w:szCs w:val="21"/>
                      <w:lang w:val="en-US" w:eastAsia="zh-CN"/>
                    </w:rPr>
                    <w:t xml:space="preserve">控浓度限值 </w:t>
                  </w:r>
                </w:p>
                <w:p>
                  <w:pPr>
                    <w:pStyle w:val="28"/>
                    <w:keepNext/>
                    <w:keepLines/>
                    <w:pageBreakBefore w:val="0"/>
                    <w:overflowPunct/>
                    <w:bidi w:val="0"/>
                    <w:rPr>
                      <w:rFonts w:hint="eastAsia"/>
                      <w:b/>
                      <w:bCs/>
                      <w:color w:val="auto"/>
                      <w:sz w:val="21"/>
                      <w:szCs w:val="21"/>
                      <w:lang w:val="en-US" w:eastAsia="zh-CN"/>
                    </w:rPr>
                  </w:pPr>
                  <w:r>
                    <w:rPr>
                      <w:rFonts w:hint="eastAsia"/>
                      <w:b/>
                      <w:bCs/>
                      <w:color w:val="auto"/>
                      <w:sz w:val="21"/>
                      <w:szCs w:val="21"/>
                      <w:lang w:val="en-US" w:eastAsia="zh-CN"/>
                    </w:rPr>
                    <w:t>(mg/m</w:t>
                  </w:r>
                  <w:r>
                    <w:rPr>
                      <w:rFonts w:hint="eastAsia"/>
                      <w:b/>
                      <w:bCs/>
                      <w:color w:val="auto"/>
                      <w:sz w:val="21"/>
                      <w:szCs w:val="21"/>
                      <w:vertAlign w:val="superscript"/>
                      <w:lang w:val="en-US" w:eastAsia="zh-CN"/>
                    </w:rPr>
                    <w:t>3</w:t>
                  </w:r>
                  <w:r>
                    <w:rPr>
                      <w:rFonts w:hint="eastAsia"/>
                      <w:b/>
                      <w:bCs/>
                      <w:color w:val="auto"/>
                      <w:sz w:val="21"/>
                      <w:szCs w:val="21"/>
                      <w:lang w:val="en-US" w:eastAsia="zh-CN"/>
                    </w:rPr>
                    <w:t xml:space="preserve">) </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90" w:hRule="atLeast"/>
                <w:jc w:val="center"/>
              </w:trPr>
              <w:tc>
                <w:tcPr>
                  <w:tcW w:w="1357" w:type="pct"/>
                  <w:vMerge w:val="restart"/>
                  <w:tcMar>
                    <w:left w:w="57" w:type="dxa"/>
                    <w:right w:w="57" w:type="dxa"/>
                  </w:tcMar>
                  <w:vAlign w:val="center"/>
                </w:tcPr>
                <w:p>
                  <w:pPr>
                    <w:pStyle w:val="63"/>
                    <w:keepNext/>
                    <w:keepLines/>
                    <w:pageBreakBefore w:val="0"/>
                    <w:widowControl/>
                    <w:kinsoku/>
                    <w:overflowPunct/>
                    <w:bidi w:val="0"/>
                    <w:rPr>
                      <w:rFonts w:hint="eastAsia" w:ascii="宋体" w:hAnsi="宋体" w:eastAsia="宋体" w:cs="宋体"/>
                      <w:color w:val="auto"/>
                      <w:sz w:val="21"/>
                      <w:szCs w:val="21"/>
                    </w:rPr>
                  </w:pPr>
                  <w:r>
                    <w:rPr>
                      <w:rFonts w:hint="eastAsia" w:ascii="宋体" w:hAnsi="宋体" w:eastAsia="宋体" w:cs="宋体"/>
                      <w:color w:val="auto"/>
                      <w:sz w:val="21"/>
                      <w:szCs w:val="21"/>
                    </w:rPr>
                    <w:t>《锅炉大气污染物排放标准》（GB13271-2014）表3中的特别排放标准</w:t>
                  </w:r>
                  <w:r>
                    <w:rPr>
                      <w:rFonts w:hint="eastAsia" w:ascii="宋体" w:hAnsi="宋体" w:eastAsia="宋体" w:cs="宋体"/>
                      <w:color w:val="auto"/>
                      <w:sz w:val="21"/>
                      <w:szCs w:val="21"/>
                      <w:lang w:eastAsia="zh-CN"/>
                    </w:rPr>
                    <w:t>；</w:t>
                  </w:r>
                </w:p>
              </w:tc>
              <w:tc>
                <w:tcPr>
                  <w:tcW w:w="93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rPr>
                  </w:pPr>
                  <w:r>
                    <w:rPr>
                      <w:rFonts w:hint="eastAsia" w:ascii="宋体" w:hAnsi="宋体" w:eastAsia="宋体" w:cs="宋体"/>
                      <w:color w:val="auto"/>
                      <w:sz w:val="21"/>
                      <w:szCs w:val="21"/>
                    </w:rPr>
                    <w:t>SO</w:t>
                  </w:r>
                  <w:r>
                    <w:rPr>
                      <w:rFonts w:hint="eastAsia" w:ascii="宋体" w:hAnsi="宋体" w:eastAsia="宋体" w:cs="宋体"/>
                      <w:color w:val="auto"/>
                      <w:sz w:val="21"/>
                      <w:szCs w:val="21"/>
                      <w:vertAlign w:val="subscript"/>
                    </w:rPr>
                    <w:t>2</w:t>
                  </w:r>
                </w:p>
              </w:tc>
              <w:tc>
                <w:tcPr>
                  <w:tcW w:w="90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50</w:t>
                  </w:r>
                </w:p>
              </w:tc>
              <w:tc>
                <w:tcPr>
                  <w:tcW w:w="826"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971"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23" w:hRule="atLeast"/>
                <w:jc w:val="center"/>
              </w:trPr>
              <w:tc>
                <w:tcPr>
                  <w:tcW w:w="1357" w:type="pct"/>
                  <w:vMerge w:val="continue"/>
                  <w:tcMar>
                    <w:left w:w="57" w:type="dxa"/>
                    <w:right w:w="57" w:type="dxa"/>
                  </w:tcMar>
                  <w:vAlign w:val="center"/>
                </w:tcPr>
                <w:p>
                  <w:pPr>
                    <w:pStyle w:val="63"/>
                    <w:keepNext/>
                    <w:keepLines/>
                    <w:pageBreakBefore w:val="0"/>
                    <w:widowControl/>
                    <w:kinsoku/>
                    <w:overflowPunct/>
                    <w:bidi w:val="0"/>
                    <w:rPr>
                      <w:rFonts w:hint="eastAsia" w:ascii="宋体" w:hAnsi="宋体" w:eastAsia="宋体" w:cs="宋体"/>
                      <w:color w:val="auto"/>
                      <w:sz w:val="21"/>
                      <w:szCs w:val="21"/>
                    </w:rPr>
                  </w:pPr>
                </w:p>
              </w:tc>
              <w:tc>
                <w:tcPr>
                  <w:tcW w:w="93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rPr>
                  </w:pPr>
                  <w:r>
                    <w:rPr>
                      <w:rFonts w:hint="eastAsia" w:ascii="宋体" w:hAnsi="宋体" w:eastAsia="宋体" w:cs="宋体"/>
                      <w:color w:val="auto"/>
                      <w:sz w:val="21"/>
                      <w:szCs w:val="21"/>
                    </w:rPr>
                    <w:t>NO</w:t>
                  </w:r>
                  <w:r>
                    <w:rPr>
                      <w:rFonts w:hint="eastAsia" w:ascii="宋体" w:hAnsi="宋体" w:eastAsia="宋体" w:cs="宋体"/>
                      <w:color w:val="auto"/>
                      <w:sz w:val="21"/>
                      <w:szCs w:val="21"/>
                      <w:vertAlign w:val="subscript"/>
                    </w:rPr>
                    <w:t>X</w:t>
                  </w:r>
                </w:p>
              </w:tc>
              <w:tc>
                <w:tcPr>
                  <w:tcW w:w="90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30</w:t>
                  </w:r>
                </w:p>
              </w:tc>
              <w:tc>
                <w:tcPr>
                  <w:tcW w:w="826"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971"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23" w:hRule="atLeast"/>
                <w:jc w:val="center"/>
              </w:trPr>
              <w:tc>
                <w:tcPr>
                  <w:tcW w:w="1357" w:type="pct"/>
                  <w:vMerge w:val="continue"/>
                  <w:tcMar>
                    <w:left w:w="57" w:type="dxa"/>
                    <w:right w:w="57" w:type="dxa"/>
                  </w:tcMar>
                  <w:vAlign w:val="center"/>
                </w:tcPr>
                <w:p>
                  <w:pPr>
                    <w:pStyle w:val="63"/>
                    <w:keepNext/>
                    <w:keepLines/>
                    <w:pageBreakBefore w:val="0"/>
                    <w:widowControl/>
                    <w:kinsoku/>
                    <w:overflowPunct/>
                    <w:bidi w:val="0"/>
                    <w:rPr>
                      <w:rFonts w:hint="eastAsia" w:ascii="宋体" w:hAnsi="宋体" w:eastAsia="宋体" w:cs="宋体"/>
                      <w:color w:val="auto"/>
                      <w:sz w:val="21"/>
                      <w:szCs w:val="21"/>
                    </w:rPr>
                  </w:pPr>
                </w:p>
              </w:tc>
              <w:tc>
                <w:tcPr>
                  <w:tcW w:w="93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rPr>
                  </w:pPr>
                  <w:r>
                    <w:rPr>
                      <w:rFonts w:hint="eastAsia" w:ascii="宋体" w:hAnsi="宋体" w:eastAsia="宋体" w:cs="宋体"/>
                      <w:color w:val="auto"/>
                      <w:sz w:val="21"/>
                      <w:szCs w:val="21"/>
                    </w:rPr>
                    <w:t>颗粒物</w:t>
                  </w:r>
                </w:p>
              </w:tc>
              <w:tc>
                <w:tcPr>
                  <w:tcW w:w="90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2</w:t>
                  </w:r>
                  <w:r>
                    <w:rPr>
                      <w:rFonts w:hint="eastAsia" w:ascii="宋体" w:hAnsi="宋体" w:cs="宋体"/>
                      <w:b w:val="0"/>
                      <w:bCs w:val="0"/>
                      <w:color w:val="auto"/>
                      <w:sz w:val="21"/>
                      <w:szCs w:val="21"/>
                      <w:lang w:val="en-US" w:eastAsia="zh-CN"/>
                    </w:rPr>
                    <w:t>0</w:t>
                  </w:r>
                </w:p>
              </w:tc>
              <w:tc>
                <w:tcPr>
                  <w:tcW w:w="826"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971"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23" w:hRule="atLeast"/>
                <w:jc w:val="center"/>
              </w:trPr>
              <w:tc>
                <w:tcPr>
                  <w:tcW w:w="1357" w:type="pct"/>
                  <w:vMerge w:val="continue"/>
                  <w:tcMar>
                    <w:left w:w="57" w:type="dxa"/>
                    <w:right w:w="57" w:type="dxa"/>
                  </w:tcMar>
                  <w:vAlign w:val="center"/>
                </w:tcPr>
                <w:p>
                  <w:pPr>
                    <w:pStyle w:val="63"/>
                    <w:keepNext/>
                    <w:keepLines/>
                    <w:pageBreakBefore w:val="0"/>
                    <w:widowControl/>
                    <w:kinsoku/>
                    <w:overflowPunct/>
                    <w:bidi w:val="0"/>
                    <w:rPr>
                      <w:rFonts w:hint="eastAsia" w:ascii="宋体" w:hAnsi="宋体" w:eastAsia="宋体" w:cs="宋体"/>
                      <w:color w:val="auto"/>
                      <w:sz w:val="21"/>
                      <w:szCs w:val="21"/>
                    </w:rPr>
                  </w:pPr>
                </w:p>
              </w:tc>
              <w:tc>
                <w:tcPr>
                  <w:tcW w:w="93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rPr>
                  </w:pPr>
                  <w:r>
                    <w:rPr>
                      <w:rFonts w:hint="eastAsia" w:ascii="宋体" w:hAnsi="宋体" w:eastAsia="宋体" w:cs="宋体"/>
                      <w:color w:val="auto"/>
                      <w:sz w:val="21"/>
                      <w:szCs w:val="21"/>
                    </w:rPr>
                    <w:t>烟气黑度 （林格曼黑度，级）</w:t>
                  </w:r>
                </w:p>
              </w:tc>
              <w:tc>
                <w:tcPr>
                  <w:tcW w:w="907"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p>
              </w:tc>
              <w:tc>
                <w:tcPr>
                  <w:tcW w:w="826"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971" w:type="pct"/>
                  <w:tcMar>
                    <w:left w:w="57" w:type="dxa"/>
                    <w:right w:w="57" w:type="dxa"/>
                  </w:tcMar>
                  <w:vAlign w:val="center"/>
                </w:tcPr>
                <w:p>
                  <w:pPr>
                    <w:pStyle w:val="28"/>
                    <w:keepNext/>
                    <w:keepLines/>
                    <w:pageBreakBefore w:val="0"/>
                    <w:widowControl/>
                    <w:kinsoku/>
                    <w:overflowPunct/>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23" w:hRule="atLeast"/>
                <w:jc w:val="center"/>
              </w:trPr>
              <w:tc>
                <w:tcPr>
                  <w:tcW w:w="1357" w:type="pct"/>
                  <w:tcMar>
                    <w:left w:w="57" w:type="dxa"/>
                    <w:right w:w="57" w:type="dxa"/>
                  </w:tcMar>
                  <w:vAlign w:val="center"/>
                </w:tcPr>
                <w:p>
                  <w:pPr>
                    <w:pStyle w:val="63"/>
                    <w:keepNext/>
                    <w:keepLines/>
                    <w:pageBreakBefore w:val="0"/>
                    <w:widowControl/>
                    <w:kinsoku/>
                    <w:overflowPunct/>
                    <w:bidi w:val="0"/>
                    <w:rPr>
                      <w:rFonts w:hint="default" w:ascii="宋体" w:hAnsi="宋体" w:eastAsia="宋体" w:cs="宋体"/>
                      <w:color w:val="auto"/>
                      <w:sz w:val="21"/>
                      <w:szCs w:val="21"/>
                      <w:lang w:val="en-US" w:eastAsia="zh-CN"/>
                    </w:rPr>
                  </w:pPr>
                  <w:r>
                    <w:rPr>
                      <w:rFonts w:hint="default"/>
                      <w:color w:val="auto"/>
                      <w:sz w:val="21"/>
                      <w:szCs w:val="21"/>
                      <w:lang w:val="en-US" w:eastAsia="zh-CN"/>
                    </w:rPr>
                    <w:t>《饮食业油烟排放标准(试行)》(GB18483-2001)</w:t>
                  </w:r>
                  <w:r>
                    <w:rPr>
                      <w:rFonts w:hint="eastAsia"/>
                      <w:color w:val="auto"/>
                      <w:sz w:val="21"/>
                      <w:szCs w:val="21"/>
                      <w:lang w:val="en-US" w:eastAsia="zh-CN"/>
                    </w:rPr>
                    <w:t>大</w:t>
                  </w:r>
                  <w:r>
                    <w:rPr>
                      <w:rFonts w:hint="default"/>
                      <w:color w:val="auto"/>
                      <w:sz w:val="21"/>
                      <w:szCs w:val="21"/>
                      <w:lang w:val="en-US" w:eastAsia="zh-CN"/>
                    </w:rPr>
                    <w:t>型规模标准限值</w:t>
                  </w:r>
                </w:p>
              </w:tc>
              <w:tc>
                <w:tcPr>
                  <w:tcW w:w="937" w:type="pct"/>
                  <w:tcMar>
                    <w:left w:w="57" w:type="dxa"/>
                    <w:right w:w="57" w:type="dxa"/>
                  </w:tcMar>
                  <w:vAlign w:val="center"/>
                </w:tcPr>
                <w:p>
                  <w:pPr>
                    <w:pStyle w:val="28"/>
                    <w:keepNext/>
                    <w:keepLines/>
                    <w:pageBreakBefore w:val="0"/>
                    <w:widowControl/>
                    <w:kinsoku/>
                    <w:overflowPunct/>
                    <w:bidi w:val="0"/>
                    <w:rPr>
                      <w:rFonts w:hint="default" w:ascii="宋体" w:hAnsi="宋体" w:cs="宋体"/>
                      <w:i w:val="0"/>
                      <w:iCs w:val="0"/>
                      <w:caps w:val="0"/>
                      <w:color w:val="auto"/>
                      <w:spacing w:val="0"/>
                      <w:sz w:val="21"/>
                      <w:szCs w:val="21"/>
                      <w:shd w:val="clear" w:fill="FFFFFF"/>
                      <w:lang w:val="en-US" w:eastAsia="zh-CN"/>
                    </w:rPr>
                  </w:pPr>
                  <w:r>
                    <w:rPr>
                      <w:rFonts w:hint="eastAsia" w:ascii="宋体" w:hAnsi="宋体" w:cs="宋体"/>
                      <w:i w:val="0"/>
                      <w:iCs w:val="0"/>
                      <w:caps w:val="0"/>
                      <w:color w:val="auto"/>
                      <w:spacing w:val="0"/>
                      <w:sz w:val="21"/>
                      <w:szCs w:val="21"/>
                      <w:shd w:val="clear" w:fill="FFFFFF"/>
                      <w:lang w:val="en-US" w:eastAsia="zh-CN"/>
                    </w:rPr>
                    <w:t>油烟</w:t>
                  </w:r>
                </w:p>
              </w:tc>
              <w:tc>
                <w:tcPr>
                  <w:tcW w:w="907" w:type="pct"/>
                  <w:tcMar>
                    <w:left w:w="57" w:type="dxa"/>
                    <w:right w:w="57" w:type="dxa"/>
                  </w:tcMar>
                  <w:vAlign w:val="center"/>
                </w:tcPr>
                <w:p>
                  <w:pPr>
                    <w:pStyle w:val="28"/>
                    <w:keepNext/>
                    <w:keepLines/>
                    <w:pageBreakBefore w:val="0"/>
                    <w:widowControl/>
                    <w:kinsoku/>
                    <w:overflowPunct/>
                    <w:bidi w:val="0"/>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2.0（净化效率大于85%）</w:t>
                  </w:r>
                </w:p>
              </w:tc>
              <w:tc>
                <w:tcPr>
                  <w:tcW w:w="826" w:type="pct"/>
                  <w:tcMar>
                    <w:left w:w="57" w:type="dxa"/>
                    <w:right w:w="57" w:type="dxa"/>
                  </w:tcMar>
                  <w:vAlign w:val="center"/>
                </w:tcPr>
                <w:p>
                  <w:pPr>
                    <w:pStyle w:val="28"/>
                    <w:keepNext/>
                    <w:keepLines/>
                    <w:pageBreakBefore w:val="0"/>
                    <w:widowControl/>
                    <w:kinsoku/>
                    <w:overflowPunct/>
                    <w:bidi w:val="0"/>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w:t>
                  </w:r>
                </w:p>
              </w:tc>
              <w:tc>
                <w:tcPr>
                  <w:tcW w:w="971" w:type="pct"/>
                  <w:tcMar>
                    <w:left w:w="57" w:type="dxa"/>
                    <w:right w:w="57" w:type="dxa"/>
                  </w:tcMar>
                  <w:vAlign w:val="center"/>
                </w:tcPr>
                <w:p>
                  <w:pPr>
                    <w:pStyle w:val="28"/>
                    <w:keepNext/>
                    <w:keepLines/>
                    <w:pageBreakBefore w:val="0"/>
                    <w:widowControl/>
                    <w:kinsoku/>
                    <w:overflowPunct/>
                    <w:bidi w:val="0"/>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57" w:type="dxa"/>
                  <w:bottom w:w="0" w:type="dxa"/>
                  <w:right w:w="57" w:type="dxa"/>
                </w:tblCellMar>
              </w:tblPrEx>
              <w:trPr>
                <w:trHeight w:val="23" w:hRule="atLeast"/>
                <w:jc w:val="center"/>
              </w:trPr>
              <w:tc>
                <w:tcPr>
                  <w:tcW w:w="1357" w:type="pct"/>
                  <w:tcMar>
                    <w:left w:w="57" w:type="dxa"/>
                    <w:right w:w="57" w:type="dxa"/>
                  </w:tcMar>
                  <w:vAlign w:val="center"/>
                </w:tcPr>
                <w:p>
                  <w:pPr>
                    <w:pStyle w:val="63"/>
                    <w:keepNext/>
                    <w:keepLines/>
                    <w:pageBreakBefore w:val="0"/>
                    <w:widowControl/>
                    <w:kinsoku/>
                    <w:overflowPunct/>
                    <w:bidi w:val="0"/>
                    <w:rPr>
                      <w:rFonts w:hint="eastAsia" w:ascii="宋体" w:hAnsi="宋体" w:cs="宋体"/>
                      <w:color w:val="auto"/>
                      <w:sz w:val="21"/>
                      <w:szCs w:val="21"/>
                      <w:lang w:val="en-US" w:eastAsia="zh-CN"/>
                    </w:rPr>
                  </w:pPr>
                  <w:r>
                    <w:rPr>
                      <w:rFonts w:hint="eastAsia"/>
                      <w:color w:val="auto"/>
                      <w:sz w:val="21"/>
                      <w:szCs w:val="21"/>
                      <w:lang w:val="en-US" w:eastAsia="zh-CN"/>
                    </w:rPr>
                    <w:t>《大气污染物综合排放标准》（GB16297-1996）表2标准</w:t>
                  </w:r>
                </w:p>
              </w:tc>
              <w:tc>
                <w:tcPr>
                  <w:tcW w:w="937" w:type="pct"/>
                  <w:tcMar>
                    <w:left w:w="57" w:type="dxa"/>
                    <w:right w:w="57" w:type="dxa"/>
                  </w:tcMar>
                  <w:vAlign w:val="center"/>
                </w:tcPr>
                <w:p>
                  <w:pPr>
                    <w:pStyle w:val="28"/>
                    <w:keepNext/>
                    <w:keepLines/>
                    <w:pageBreakBefore w:val="0"/>
                    <w:widowControl/>
                    <w:kinsoku/>
                    <w:overflowPunct/>
                    <w:bidi w:val="0"/>
                    <w:rPr>
                      <w:rFonts w:hint="default" w:ascii="宋体" w:hAnsi="宋体" w:cs="宋体"/>
                      <w:i w:val="0"/>
                      <w:iCs w:val="0"/>
                      <w:caps w:val="0"/>
                      <w:color w:val="auto"/>
                      <w:spacing w:val="0"/>
                      <w:sz w:val="21"/>
                      <w:szCs w:val="21"/>
                      <w:shd w:val="clear" w:fill="FFFFFF"/>
                      <w:lang w:val="en-US" w:eastAsia="zh-CN"/>
                    </w:rPr>
                  </w:pPr>
                  <w:r>
                    <w:rPr>
                      <w:rFonts w:hint="eastAsia" w:ascii="宋体" w:hAnsi="宋体" w:cs="宋体"/>
                      <w:i w:val="0"/>
                      <w:iCs w:val="0"/>
                      <w:caps w:val="0"/>
                      <w:color w:val="auto"/>
                      <w:spacing w:val="0"/>
                      <w:sz w:val="21"/>
                      <w:szCs w:val="21"/>
                      <w:shd w:val="clear" w:fill="FFFFFF"/>
                      <w:lang w:val="en-US" w:eastAsia="zh-CN"/>
                    </w:rPr>
                    <w:t>非甲烷总烃</w:t>
                  </w:r>
                </w:p>
              </w:tc>
              <w:tc>
                <w:tcPr>
                  <w:tcW w:w="907" w:type="pct"/>
                  <w:tcMar>
                    <w:left w:w="57" w:type="dxa"/>
                    <w:right w:w="57" w:type="dxa"/>
                  </w:tcMar>
                  <w:vAlign w:val="center"/>
                </w:tcPr>
                <w:p>
                  <w:pPr>
                    <w:pStyle w:val="28"/>
                    <w:keepNext/>
                    <w:keepLines/>
                    <w:pageBreakBefore w:val="0"/>
                    <w:widowControl/>
                    <w:kinsoku/>
                    <w:overflowPunct/>
                    <w:bidi w:val="0"/>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120</w:t>
                  </w:r>
                </w:p>
              </w:tc>
              <w:tc>
                <w:tcPr>
                  <w:tcW w:w="826" w:type="pct"/>
                  <w:tcMar>
                    <w:left w:w="57" w:type="dxa"/>
                    <w:right w:w="57" w:type="dxa"/>
                  </w:tcMar>
                  <w:vAlign w:val="center"/>
                </w:tcPr>
                <w:p>
                  <w:pPr>
                    <w:pStyle w:val="28"/>
                    <w:keepNext/>
                    <w:keepLines/>
                    <w:pageBreakBefore w:val="0"/>
                    <w:widowControl/>
                    <w:kinsoku/>
                    <w:overflowPunct/>
                    <w:bidi w:val="0"/>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7.24</w:t>
                  </w:r>
                </w:p>
              </w:tc>
              <w:tc>
                <w:tcPr>
                  <w:tcW w:w="971" w:type="pct"/>
                  <w:tcMar>
                    <w:left w:w="57" w:type="dxa"/>
                    <w:right w:w="57" w:type="dxa"/>
                  </w:tcMar>
                  <w:vAlign w:val="center"/>
                </w:tcPr>
                <w:p>
                  <w:pPr>
                    <w:pStyle w:val="28"/>
                    <w:keepNext/>
                    <w:keepLines/>
                    <w:pageBreakBefore w:val="0"/>
                    <w:widowControl/>
                    <w:kinsoku/>
                    <w:overflowPunct/>
                    <w:bidi w:val="0"/>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4.0</w:t>
                  </w:r>
                </w:p>
              </w:tc>
            </w:tr>
          </w:tbl>
          <w:p>
            <w:pPr>
              <w:keepNext w:val="0"/>
              <w:keepLines w:val="0"/>
              <w:widowControl/>
              <w:suppressLineNumbers w:val="0"/>
              <w:jc w:val="left"/>
              <w:rPr>
                <w:rFonts w:hint="eastAsia"/>
                <w:b/>
                <w:bCs/>
                <w:color w:val="auto"/>
                <w:sz w:val="24"/>
                <w:lang w:val="en-US" w:eastAsia="zh-CN"/>
              </w:rPr>
            </w:pPr>
            <w:r>
              <w:rPr>
                <w:rFonts w:hint="eastAsia" w:ascii="宋体" w:hAnsi="宋体" w:eastAsia="宋体" w:cs="宋体"/>
                <w:b/>
                <w:bCs/>
                <w:color w:val="000000"/>
                <w:kern w:val="0"/>
                <w:sz w:val="20"/>
                <w:szCs w:val="20"/>
                <w:lang w:val="en-US" w:eastAsia="zh-CN" w:bidi="ar"/>
              </w:rPr>
              <w:t>本项目实验室废气排放口排放高度约为</w:t>
            </w:r>
            <w:r>
              <w:rPr>
                <w:rFonts w:hint="eastAsia" w:ascii="Times New Roman" w:hAnsi="Times New Roman" w:eastAsia="宋体" w:cs="Times New Roman"/>
                <w:b/>
                <w:bCs/>
                <w:color w:val="000000"/>
                <w:kern w:val="0"/>
                <w:sz w:val="20"/>
                <w:szCs w:val="20"/>
                <w:lang w:val="en-US" w:eastAsia="zh-CN" w:bidi="ar"/>
              </w:rPr>
              <w:t>18.2</w:t>
            </w:r>
            <w:r>
              <w:rPr>
                <w:rFonts w:hint="default" w:ascii="Times New Roman" w:hAnsi="Times New Roman" w:eastAsia="宋体" w:cs="Times New Roman"/>
                <w:b/>
                <w:bCs/>
                <w:color w:val="000000"/>
                <w:kern w:val="0"/>
                <w:sz w:val="20"/>
                <w:szCs w:val="20"/>
                <w:lang w:val="en-US" w:eastAsia="zh-CN" w:bidi="ar"/>
              </w:rPr>
              <w:t>m</w:t>
            </w:r>
            <w:r>
              <w:rPr>
                <w:rFonts w:hint="eastAsia" w:ascii="宋体" w:hAnsi="宋体" w:eastAsia="宋体" w:cs="宋体"/>
                <w:b/>
                <w:bCs/>
                <w:color w:val="000000"/>
                <w:kern w:val="0"/>
                <w:sz w:val="20"/>
                <w:szCs w:val="20"/>
                <w:lang w:val="en-US" w:eastAsia="zh-CN" w:bidi="ar"/>
              </w:rPr>
              <w:t>，不高于周围</w:t>
            </w:r>
            <w:r>
              <w:rPr>
                <w:rFonts w:hint="default" w:ascii="Times New Roman" w:hAnsi="Times New Roman" w:eastAsia="宋体" w:cs="Times New Roman"/>
                <w:b/>
                <w:bCs/>
                <w:color w:val="000000"/>
                <w:kern w:val="0"/>
                <w:sz w:val="20"/>
                <w:szCs w:val="20"/>
                <w:lang w:val="en-US" w:eastAsia="zh-CN" w:bidi="ar"/>
              </w:rPr>
              <w:t xml:space="preserve">200m </w:t>
            </w:r>
            <w:r>
              <w:rPr>
                <w:rFonts w:hint="eastAsia" w:ascii="宋体" w:hAnsi="宋体" w:eastAsia="宋体" w:cs="宋体"/>
                <w:b/>
                <w:bCs/>
                <w:color w:val="000000"/>
                <w:kern w:val="0"/>
                <w:sz w:val="20"/>
                <w:szCs w:val="20"/>
                <w:lang w:val="en-US" w:eastAsia="zh-CN" w:bidi="ar"/>
              </w:rPr>
              <w:t>半径范围的最高建筑</w:t>
            </w:r>
            <w:r>
              <w:rPr>
                <w:rFonts w:hint="default" w:ascii="Times New Roman" w:hAnsi="Times New Roman" w:eastAsia="宋体" w:cs="Times New Roman"/>
                <w:b/>
                <w:bCs/>
                <w:color w:val="000000"/>
                <w:kern w:val="0"/>
                <w:sz w:val="20"/>
                <w:szCs w:val="20"/>
                <w:lang w:val="en-US" w:eastAsia="zh-CN" w:bidi="ar"/>
              </w:rPr>
              <w:t xml:space="preserve">5m </w:t>
            </w:r>
            <w:r>
              <w:rPr>
                <w:rFonts w:hint="eastAsia" w:ascii="宋体" w:hAnsi="宋体" w:eastAsia="宋体" w:cs="宋体"/>
                <w:b/>
                <w:bCs/>
                <w:color w:val="000000"/>
                <w:kern w:val="0"/>
                <w:sz w:val="20"/>
                <w:szCs w:val="20"/>
                <w:lang w:val="en-US" w:eastAsia="zh-CN" w:bidi="ar"/>
              </w:rPr>
              <w:t>以上，因此本项目污染物最高允许排放速率按其对应高度排放限值的</w:t>
            </w:r>
            <w:r>
              <w:rPr>
                <w:rFonts w:hint="default" w:ascii="Times New Roman" w:hAnsi="Times New Roman" w:eastAsia="宋体" w:cs="Times New Roman"/>
                <w:b/>
                <w:bCs/>
                <w:color w:val="000000"/>
                <w:kern w:val="0"/>
                <w:sz w:val="20"/>
                <w:szCs w:val="20"/>
                <w:lang w:val="en-US" w:eastAsia="zh-CN" w:bidi="ar"/>
              </w:rPr>
              <w:t>50%</w:t>
            </w:r>
            <w:r>
              <w:rPr>
                <w:rFonts w:hint="eastAsia" w:ascii="宋体" w:hAnsi="宋体" w:eastAsia="宋体" w:cs="宋体"/>
                <w:b/>
                <w:bCs/>
                <w:color w:val="000000"/>
                <w:kern w:val="0"/>
                <w:sz w:val="20"/>
                <w:szCs w:val="20"/>
                <w:lang w:val="en-US" w:eastAsia="zh-CN" w:bidi="ar"/>
              </w:rPr>
              <w:t>执行。</w:t>
            </w:r>
          </w:p>
          <w:p>
            <w:pPr>
              <w:keepNext/>
              <w:keepLines/>
              <w:pageBreakBefore w:val="0"/>
              <w:bidi w:val="0"/>
              <w:spacing w:line="360" w:lineRule="auto"/>
              <w:ind w:firstLine="482" w:firstLineChars="200"/>
              <w:rPr>
                <w:rFonts w:hint="eastAsia"/>
                <w:b/>
                <w:bCs/>
                <w:color w:val="auto"/>
                <w:sz w:val="24"/>
              </w:rPr>
            </w:pPr>
            <w:r>
              <w:rPr>
                <w:rFonts w:hint="eastAsia"/>
                <w:b/>
                <w:bCs/>
                <w:color w:val="auto"/>
                <w:sz w:val="24"/>
                <w:lang w:val="en-US" w:eastAsia="zh-CN"/>
              </w:rPr>
              <w:t xml:space="preserve">2、水污染物排放标准 </w:t>
            </w:r>
          </w:p>
          <w:p>
            <w:pPr>
              <w:keepNext/>
              <w:keepLines/>
              <w:pageBreakBefore w:val="0"/>
              <w:bidi w:val="0"/>
              <w:spacing w:line="360" w:lineRule="auto"/>
              <w:ind w:firstLine="480" w:firstLineChars="200"/>
              <w:rPr>
                <w:rFonts w:hint="eastAsia" w:ascii="Times New Roman" w:hAnsi="Times New Roman" w:eastAsia="宋体" w:cs="Times New Roman"/>
                <w:color w:val="auto"/>
                <w:sz w:val="24"/>
                <w:lang w:eastAsia="zh-CN"/>
              </w:rPr>
            </w:pPr>
            <w:r>
              <w:rPr>
                <w:rFonts w:hint="eastAsia" w:ascii="Times New Roman" w:hAnsi="Times New Roman" w:eastAsia="宋体" w:cs="Times New Roman"/>
                <w:color w:val="auto"/>
                <w:sz w:val="24"/>
                <w:lang w:val="en-US" w:eastAsia="zh-CN"/>
              </w:rPr>
              <w:t>本项目生活污水与经实验室废水处理装置处理后的实验废水</w:t>
            </w:r>
            <w:r>
              <w:rPr>
                <w:rFonts w:hint="eastAsia" w:cs="Times New Roman"/>
                <w:color w:val="auto"/>
                <w:sz w:val="24"/>
                <w:lang w:val="en-US" w:eastAsia="zh-CN"/>
              </w:rPr>
              <w:t>排入化粪池当中，最终通过市政管网</w:t>
            </w:r>
            <w:r>
              <w:rPr>
                <w:rFonts w:hint="eastAsia" w:ascii="Times New Roman" w:hAnsi="Times New Roman" w:eastAsia="宋体" w:cs="Times New Roman"/>
                <w:color w:val="auto"/>
                <w:sz w:val="24"/>
                <w:lang w:val="en-US" w:eastAsia="zh-CN"/>
              </w:rPr>
              <w:t>接管至</w:t>
            </w:r>
            <w:r>
              <w:rPr>
                <w:rFonts w:hint="eastAsia" w:cs="Times New Roman"/>
                <w:color w:val="auto"/>
                <w:sz w:val="24"/>
                <w:lang w:val="en-US" w:eastAsia="zh-CN"/>
              </w:rPr>
              <w:t>乐都区污水处理厂</w:t>
            </w:r>
            <w:r>
              <w:rPr>
                <w:rFonts w:hint="eastAsia" w:ascii="Times New Roman" w:hAnsi="Times New Roman" w:eastAsia="宋体" w:cs="Times New Roman"/>
                <w:color w:val="auto"/>
                <w:sz w:val="24"/>
                <w:lang w:val="en-US" w:eastAsia="zh-CN"/>
              </w:rPr>
              <w:t>处理，接管执行《污水排入城镇下水道水质标准》（GB/T31962-2015）表1中的B等级标准，具体标准值详见表3-</w:t>
            </w:r>
            <w:r>
              <w:rPr>
                <w:rFonts w:hint="eastAsia" w:cs="Times New Roman"/>
                <w:color w:val="auto"/>
                <w:sz w:val="24"/>
                <w:lang w:val="en-US" w:eastAsia="zh-CN"/>
              </w:rPr>
              <w:t>6</w:t>
            </w:r>
            <w:r>
              <w:rPr>
                <w:rFonts w:hint="eastAsia" w:ascii="Times New Roman" w:hAnsi="Times New Roman" w:eastAsia="宋体" w:cs="Times New Roman"/>
                <w:color w:val="auto"/>
                <w:sz w:val="24"/>
                <w:lang w:val="en-US" w:eastAsia="zh-CN"/>
              </w:rPr>
              <w:t>。</w:t>
            </w:r>
          </w:p>
          <w:p>
            <w:pPr>
              <w:pStyle w:val="27"/>
              <w:bidi w:val="0"/>
              <w:rPr>
                <w:rFonts w:hint="default"/>
                <w:color w:val="auto"/>
                <w:lang w:val="en-US" w:eastAsia="zh-CN"/>
              </w:rPr>
            </w:pPr>
            <w:r>
              <w:rPr>
                <w:rFonts w:hint="default"/>
                <w:color w:val="auto"/>
              </w:rPr>
              <w:t>表</w:t>
            </w:r>
            <w:r>
              <w:rPr>
                <w:rFonts w:hint="eastAsia"/>
                <w:color w:val="auto"/>
                <w:lang w:val="en-US" w:eastAsia="zh-CN"/>
              </w:rPr>
              <w:t>3</w:t>
            </w:r>
            <w:r>
              <w:rPr>
                <w:rFonts w:hint="default"/>
                <w:color w:val="auto"/>
              </w:rPr>
              <w:t>-</w:t>
            </w:r>
            <w:r>
              <w:rPr>
                <w:rFonts w:hint="eastAsia"/>
                <w:color w:val="auto"/>
                <w:lang w:val="en-US" w:eastAsia="zh-CN"/>
              </w:rPr>
              <w:t>6</w:t>
            </w:r>
            <w:r>
              <w:rPr>
                <w:rFonts w:hint="default"/>
                <w:color w:val="auto"/>
              </w:rPr>
              <w:t xml:space="preserve"> </w:t>
            </w:r>
            <w:r>
              <w:rPr>
                <w:rFonts w:hint="eastAsia"/>
                <w:color w:val="auto"/>
                <w:lang w:val="en-US" w:eastAsia="zh-CN"/>
              </w:rPr>
              <w:t>《污水排入城镇下水道水质标准》（GB/T31962-2015）表1中的B等级标准</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882"/>
              <w:gridCol w:w="2304"/>
              <w:gridCol w:w="15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205" w:type="dxa"/>
                  <w:tcBorders>
                    <w:tl2br w:val="nil"/>
                    <w:tr2bl w:val="nil"/>
                  </w:tcBorders>
                  <w:noWrap w:val="0"/>
                  <w:vAlign w:val="center"/>
                </w:tcPr>
                <w:p>
                  <w:pPr>
                    <w:keepNext/>
                    <w:keepLines/>
                    <w:pageBreakBefore w:val="0"/>
                    <w:bidi w:val="0"/>
                    <w:spacing w:line="300" w:lineRule="exact"/>
                    <w:jc w:val="center"/>
                    <w:rPr>
                      <w:b/>
                      <w:bCs/>
                      <w:color w:val="auto"/>
                      <w:szCs w:val="21"/>
                    </w:rPr>
                  </w:pPr>
                  <w:r>
                    <w:rPr>
                      <w:b/>
                      <w:bCs/>
                      <w:color w:val="auto"/>
                      <w:szCs w:val="21"/>
                    </w:rPr>
                    <w:t>污染物名称</w:t>
                  </w:r>
                </w:p>
              </w:tc>
              <w:tc>
                <w:tcPr>
                  <w:tcW w:w="1882" w:type="dxa"/>
                  <w:tcBorders>
                    <w:tl2br w:val="nil"/>
                    <w:tr2bl w:val="nil"/>
                  </w:tcBorders>
                  <w:noWrap w:val="0"/>
                  <w:vAlign w:val="center"/>
                </w:tcPr>
                <w:p>
                  <w:pPr>
                    <w:keepNext/>
                    <w:keepLines/>
                    <w:pageBreakBefore w:val="0"/>
                    <w:bidi w:val="0"/>
                    <w:spacing w:line="300" w:lineRule="exact"/>
                    <w:jc w:val="center"/>
                    <w:rPr>
                      <w:b/>
                      <w:bCs/>
                      <w:color w:val="auto"/>
                      <w:szCs w:val="21"/>
                    </w:rPr>
                  </w:pPr>
                  <w:r>
                    <w:rPr>
                      <w:b/>
                      <w:bCs/>
                      <w:color w:val="auto"/>
                      <w:szCs w:val="21"/>
                    </w:rPr>
                    <w:t>标准值</w:t>
                  </w:r>
                </w:p>
              </w:tc>
              <w:tc>
                <w:tcPr>
                  <w:tcW w:w="2304" w:type="dxa"/>
                  <w:tcBorders>
                    <w:tl2br w:val="nil"/>
                    <w:tr2bl w:val="nil"/>
                  </w:tcBorders>
                  <w:noWrap w:val="0"/>
                  <w:vAlign w:val="center"/>
                </w:tcPr>
                <w:p>
                  <w:pPr>
                    <w:keepNext/>
                    <w:keepLines/>
                    <w:pageBreakBefore w:val="0"/>
                    <w:bidi w:val="0"/>
                    <w:spacing w:line="300" w:lineRule="exact"/>
                    <w:jc w:val="center"/>
                    <w:rPr>
                      <w:b/>
                      <w:bCs/>
                      <w:color w:val="auto"/>
                      <w:szCs w:val="21"/>
                    </w:rPr>
                  </w:pPr>
                  <w:r>
                    <w:rPr>
                      <w:b/>
                      <w:bCs/>
                      <w:color w:val="auto"/>
                      <w:szCs w:val="21"/>
                    </w:rPr>
                    <w:t>污染物名称</w:t>
                  </w:r>
                </w:p>
              </w:tc>
              <w:tc>
                <w:tcPr>
                  <w:tcW w:w="1573" w:type="dxa"/>
                  <w:tcBorders>
                    <w:tl2br w:val="nil"/>
                    <w:tr2bl w:val="nil"/>
                  </w:tcBorders>
                  <w:noWrap w:val="0"/>
                  <w:vAlign w:val="center"/>
                </w:tcPr>
                <w:p>
                  <w:pPr>
                    <w:keepNext/>
                    <w:keepLines/>
                    <w:pageBreakBefore w:val="0"/>
                    <w:bidi w:val="0"/>
                    <w:spacing w:line="300" w:lineRule="exact"/>
                    <w:jc w:val="center"/>
                    <w:rPr>
                      <w:b/>
                      <w:bCs/>
                      <w:color w:val="auto"/>
                      <w:szCs w:val="21"/>
                    </w:rPr>
                  </w:pPr>
                  <w:r>
                    <w:rPr>
                      <w:b/>
                      <w:bCs/>
                      <w:color w:val="auto"/>
                      <w:szCs w:val="21"/>
                    </w:rPr>
                    <w:t>标准值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l2br w:val="nil"/>
                    <w:tr2bl w:val="nil"/>
                  </w:tcBorders>
                  <w:noWrap w:val="0"/>
                  <w:vAlign w:val="center"/>
                </w:tcPr>
                <w:p>
                  <w:pPr>
                    <w:keepNext/>
                    <w:keepLines/>
                    <w:pageBreakBefore w:val="0"/>
                    <w:bidi w:val="0"/>
                    <w:spacing w:line="300" w:lineRule="exact"/>
                    <w:jc w:val="center"/>
                    <w:rPr>
                      <w:color w:val="auto"/>
                      <w:szCs w:val="21"/>
                    </w:rPr>
                  </w:pPr>
                  <w:r>
                    <w:rPr>
                      <w:color w:val="auto"/>
                      <w:szCs w:val="21"/>
                    </w:rPr>
                    <w:t>pH值</w:t>
                  </w:r>
                </w:p>
              </w:tc>
              <w:tc>
                <w:tcPr>
                  <w:tcW w:w="1882" w:type="dxa"/>
                  <w:tcBorders>
                    <w:tl2br w:val="nil"/>
                    <w:tr2bl w:val="nil"/>
                  </w:tcBorders>
                  <w:noWrap w:val="0"/>
                  <w:vAlign w:val="center"/>
                </w:tcPr>
                <w:p>
                  <w:pPr>
                    <w:keepNext/>
                    <w:keepLines/>
                    <w:pageBreakBefore w:val="0"/>
                    <w:bidi w:val="0"/>
                    <w:spacing w:line="300" w:lineRule="exact"/>
                    <w:jc w:val="center"/>
                    <w:rPr>
                      <w:color w:val="auto"/>
                      <w:szCs w:val="21"/>
                    </w:rPr>
                  </w:pPr>
                  <w:r>
                    <w:rPr>
                      <w:color w:val="auto"/>
                      <w:szCs w:val="21"/>
                    </w:rPr>
                    <w:t>6</w:t>
                  </w:r>
                  <w:r>
                    <w:rPr>
                      <w:rFonts w:hint="eastAsia"/>
                      <w:color w:val="auto"/>
                      <w:szCs w:val="21"/>
                    </w:rPr>
                    <w:t>.5</w:t>
                  </w:r>
                  <w:r>
                    <w:rPr>
                      <w:color w:val="auto"/>
                      <w:szCs w:val="21"/>
                    </w:rPr>
                    <w:t>～9</w:t>
                  </w:r>
                  <w:r>
                    <w:rPr>
                      <w:rFonts w:hint="eastAsia"/>
                      <w:color w:val="auto"/>
                      <w:szCs w:val="21"/>
                    </w:rPr>
                    <w:t>.5</w:t>
                  </w:r>
                </w:p>
              </w:tc>
              <w:tc>
                <w:tcPr>
                  <w:tcW w:w="2304"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lang w:val="en-GB"/>
                    </w:rPr>
                    <w:t>动植物油</w:t>
                  </w:r>
                  <w:r>
                    <w:rPr>
                      <w:color w:val="auto"/>
                      <w:szCs w:val="21"/>
                      <w:lang w:val="en-GB"/>
                    </w:rPr>
                    <w:t>≤</w:t>
                  </w:r>
                </w:p>
              </w:tc>
              <w:tc>
                <w:tcPr>
                  <w:tcW w:w="1573"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rPr>
                    <w:t>100</w:t>
                  </w:r>
                  <w:r>
                    <w:rPr>
                      <w:color w:val="auto"/>
                      <w:szCs w:val="21"/>
                    </w:rPr>
                    <w:t>mg/</w:t>
                  </w:r>
                  <w:r>
                    <w:rPr>
                      <w:rFonts w:hint="eastAsia"/>
                      <w:color w:val="auto"/>
                      <w:szCs w:val="21"/>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l2br w:val="nil"/>
                    <w:tr2bl w:val="nil"/>
                  </w:tcBorders>
                  <w:noWrap w:val="0"/>
                  <w:vAlign w:val="center"/>
                </w:tcPr>
                <w:p>
                  <w:pPr>
                    <w:keepNext/>
                    <w:keepLines/>
                    <w:pageBreakBefore w:val="0"/>
                    <w:bidi w:val="0"/>
                    <w:spacing w:line="300" w:lineRule="exact"/>
                    <w:jc w:val="center"/>
                    <w:rPr>
                      <w:color w:val="auto"/>
                      <w:szCs w:val="21"/>
                    </w:rPr>
                  </w:pPr>
                  <w:r>
                    <w:rPr>
                      <w:color w:val="auto"/>
                      <w:szCs w:val="21"/>
                    </w:rPr>
                    <w:t>COD</w:t>
                  </w:r>
                  <w:r>
                    <w:rPr>
                      <w:color w:val="auto"/>
                      <w:szCs w:val="21"/>
                      <w:lang w:val="en-GB"/>
                    </w:rPr>
                    <w:t>≤</w:t>
                  </w:r>
                </w:p>
              </w:tc>
              <w:tc>
                <w:tcPr>
                  <w:tcW w:w="1882"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lang w:val="en-US" w:eastAsia="zh-CN"/>
                    </w:rPr>
                    <w:t>50</w:t>
                  </w:r>
                  <w:r>
                    <w:rPr>
                      <w:rFonts w:hint="eastAsia"/>
                      <w:color w:val="auto"/>
                      <w:szCs w:val="21"/>
                    </w:rPr>
                    <w:t>0</w:t>
                  </w:r>
                  <w:r>
                    <w:rPr>
                      <w:color w:val="auto"/>
                      <w:szCs w:val="21"/>
                    </w:rPr>
                    <w:t>mg/L</w:t>
                  </w:r>
                </w:p>
              </w:tc>
              <w:tc>
                <w:tcPr>
                  <w:tcW w:w="2304" w:type="dxa"/>
                  <w:tcBorders>
                    <w:tl2br w:val="nil"/>
                    <w:tr2bl w:val="nil"/>
                  </w:tcBorders>
                  <w:noWrap w:val="0"/>
                  <w:vAlign w:val="center"/>
                </w:tcPr>
                <w:p>
                  <w:pPr>
                    <w:keepNext/>
                    <w:keepLines/>
                    <w:pageBreakBefore w:val="0"/>
                    <w:bidi w:val="0"/>
                    <w:spacing w:line="300" w:lineRule="exact"/>
                    <w:jc w:val="center"/>
                    <w:rPr>
                      <w:color w:val="auto"/>
                      <w:szCs w:val="21"/>
                    </w:rPr>
                  </w:pPr>
                  <w:r>
                    <w:rPr>
                      <w:color w:val="auto"/>
                      <w:szCs w:val="21"/>
                    </w:rPr>
                    <w:t>石油类</w:t>
                  </w:r>
                  <w:r>
                    <w:rPr>
                      <w:color w:val="auto"/>
                      <w:szCs w:val="21"/>
                      <w:lang w:val="en-GB"/>
                    </w:rPr>
                    <w:t>≤</w:t>
                  </w:r>
                </w:p>
              </w:tc>
              <w:tc>
                <w:tcPr>
                  <w:tcW w:w="1573" w:type="dxa"/>
                  <w:tcBorders>
                    <w:tl2br w:val="nil"/>
                    <w:tr2bl w:val="nil"/>
                  </w:tcBorders>
                  <w:noWrap w:val="0"/>
                  <w:vAlign w:val="center"/>
                </w:tcPr>
                <w:p>
                  <w:pPr>
                    <w:keepNext/>
                    <w:keepLines/>
                    <w:pageBreakBefore w:val="0"/>
                    <w:bidi w:val="0"/>
                    <w:spacing w:line="300" w:lineRule="exact"/>
                    <w:ind w:right="-122" w:rightChars="-58" w:firstLine="420" w:firstLineChars="200"/>
                    <w:jc w:val="both"/>
                    <w:rPr>
                      <w:color w:val="auto"/>
                      <w:szCs w:val="21"/>
                    </w:rPr>
                  </w:pPr>
                  <w:r>
                    <w:rPr>
                      <w:rFonts w:hint="eastAsia"/>
                      <w:color w:val="auto"/>
                      <w:szCs w:val="21"/>
                      <w:lang w:val="en-US" w:eastAsia="zh-CN"/>
                    </w:rPr>
                    <w:t>15</w:t>
                  </w:r>
                  <w:r>
                    <w:rPr>
                      <w:color w:val="auto"/>
                      <w:szCs w:val="21"/>
                    </w:rPr>
                    <w:t>mg/L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l2br w:val="nil"/>
                    <w:tr2bl w:val="nil"/>
                  </w:tcBorders>
                  <w:noWrap w:val="0"/>
                  <w:vAlign w:val="center"/>
                </w:tcPr>
                <w:p>
                  <w:pPr>
                    <w:keepNext/>
                    <w:keepLines/>
                    <w:pageBreakBefore w:val="0"/>
                    <w:bidi w:val="0"/>
                    <w:spacing w:line="300" w:lineRule="exact"/>
                    <w:jc w:val="center"/>
                    <w:rPr>
                      <w:color w:val="auto"/>
                      <w:szCs w:val="21"/>
                    </w:rPr>
                  </w:pPr>
                  <w:r>
                    <w:rPr>
                      <w:color w:val="auto"/>
                      <w:szCs w:val="21"/>
                    </w:rPr>
                    <w:t>BOD</w:t>
                  </w:r>
                  <w:r>
                    <w:rPr>
                      <w:color w:val="auto"/>
                      <w:szCs w:val="21"/>
                      <w:vertAlign w:val="subscript"/>
                    </w:rPr>
                    <w:t>5</w:t>
                  </w:r>
                  <w:r>
                    <w:rPr>
                      <w:color w:val="auto"/>
                      <w:szCs w:val="21"/>
                      <w:lang w:val="en-GB"/>
                    </w:rPr>
                    <w:t>≤</w:t>
                  </w:r>
                </w:p>
              </w:tc>
              <w:tc>
                <w:tcPr>
                  <w:tcW w:w="1882"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rPr>
                    <w:t>3</w:t>
                  </w:r>
                  <w:r>
                    <w:rPr>
                      <w:rFonts w:hint="eastAsia"/>
                      <w:color w:val="auto"/>
                      <w:szCs w:val="21"/>
                      <w:lang w:val="en-US" w:eastAsia="zh-CN"/>
                    </w:rPr>
                    <w:t>5</w:t>
                  </w:r>
                  <w:r>
                    <w:rPr>
                      <w:rFonts w:hint="eastAsia"/>
                      <w:color w:val="auto"/>
                      <w:szCs w:val="21"/>
                    </w:rPr>
                    <w:t>0</w:t>
                  </w:r>
                  <w:r>
                    <w:rPr>
                      <w:color w:val="auto"/>
                      <w:szCs w:val="21"/>
                    </w:rPr>
                    <w:t>mg/L</w:t>
                  </w:r>
                </w:p>
              </w:tc>
              <w:tc>
                <w:tcPr>
                  <w:tcW w:w="2304"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lang w:val="en-GB"/>
                    </w:rPr>
                    <w:t>阴离子表面活性剂</w:t>
                  </w:r>
                  <w:r>
                    <w:rPr>
                      <w:color w:val="auto"/>
                      <w:szCs w:val="21"/>
                      <w:lang w:val="en-GB"/>
                    </w:rPr>
                    <w:t>≤</w:t>
                  </w:r>
                </w:p>
              </w:tc>
              <w:tc>
                <w:tcPr>
                  <w:tcW w:w="1573"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rPr>
                    <w:t>20</w:t>
                  </w:r>
                  <w:r>
                    <w:rPr>
                      <w:color w:val="auto"/>
                      <w:szCs w:val="21"/>
                    </w:rPr>
                    <w:t>mg/</w:t>
                  </w:r>
                  <w:r>
                    <w:rPr>
                      <w:rFonts w:hint="eastAsia"/>
                      <w:color w:val="auto"/>
                      <w:szCs w:val="21"/>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rPr>
                    <w:t>SS</w:t>
                  </w:r>
                  <w:r>
                    <w:rPr>
                      <w:color w:val="auto"/>
                      <w:szCs w:val="21"/>
                      <w:lang w:val="en-GB"/>
                    </w:rPr>
                    <w:t>≤</w:t>
                  </w:r>
                </w:p>
              </w:tc>
              <w:tc>
                <w:tcPr>
                  <w:tcW w:w="1882"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rPr>
                    <w:t>400</w:t>
                  </w:r>
                  <w:r>
                    <w:rPr>
                      <w:color w:val="auto"/>
                      <w:szCs w:val="21"/>
                    </w:rPr>
                    <w:t>mg/L</w:t>
                  </w:r>
                </w:p>
              </w:tc>
              <w:tc>
                <w:tcPr>
                  <w:tcW w:w="2304" w:type="dxa"/>
                  <w:tcBorders>
                    <w:tl2br w:val="nil"/>
                    <w:tr2bl w:val="nil"/>
                  </w:tcBorders>
                  <w:noWrap w:val="0"/>
                  <w:vAlign w:val="center"/>
                </w:tcPr>
                <w:p>
                  <w:pPr>
                    <w:keepNext/>
                    <w:keepLines/>
                    <w:pageBreakBefore w:val="0"/>
                    <w:bidi w:val="0"/>
                    <w:spacing w:line="300" w:lineRule="exact"/>
                    <w:jc w:val="center"/>
                    <w:rPr>
                      <w:color w:val="auto"/>
                      <w:szCs w:val="21"/>
                    </w:rPr>
                  </w:pPr>
                  <w:r>
                    <w:rPr>
                      <w:rFonts w:hint="eastAsia"/>
                      <w:color w:val="auto"/>
                      <w:szCs w:val="21"/>
                      <w:lang w:val="en-GB"/>
                    </w:rPr>
                    <w:t>氨氮</w:t>
                  </w:r>
                  <w:r>
                    <w:rPr>
                      <w:color w:val="auto"/>
                      <w:szCs w:val="21"/>
                      <w:lang w:val="en-GB"/>
                    </w:rPr>
                    <w:t>≤</w:t>
                  </w:r>
                </w:p>
              </w:tc>
              <w:tc>
                <w:tcPr>
                  <w:tcW w:w="1573" w:type="dxa"/>
                  <w:tcBorders>
                    <w:tl2br w:val="nil"/>
                    <w:tr2bl w:val="nil"/>
                  </w:tcBorders>
                  <w:noWrap w:val="0"/>
                  <w:vAlign w:val="center"/>
                </w:tcPr>
                <w:p>
                  <w:pPr>
                    <w:keepNext/>
                    <w:keepLines/>
                    <w:pageBreakBefore w:val="0"/>
                    <w:bidi w:val="0"/>
                    <w:spacing w:line="300" w:lineRule="exact"/>
                    <w:jc w:val="center"/>
                    <w:rPr>
                      <w:rFonts w:hint="default" w:eastAsia="宋体"/>
                      <w:color w:val="auto"/>
                      <w:szCs w:val="21"/>
                      <w:lang w:val="en-US" w:eastAsia="zh-CN"/>
                    </w:rPr>
                  </w:pPr>
                  <w:r>
                    <w:rPr>
                      <w:rFonts w:hint="eastAsia"/>
                      <w:color w:val="auto"/>
                      <w:szCs w:val="21"/>
                      <w:lang w:val="en-US" w:eastAsia="zh-CN"/>
                    </w:rPr>
                    <w:t>45</w:t>
                  </w:r>
                  <w:r>
                    <w:rPr>
                      <w:color w:val="auto"/>
                      <w:szCs w:val="21"/>
                    </w:rPr>
                    <w:t>mg/</w:t>
                  </w:r>
                  <w:r>
                    <w:rPr>
                      <w:rFonts w:hint="eastAsia"/>
                      <w:color w:val="auto"/>
                      <w:szCs w:val="21"/>
                    </w:rPr>
                    <w:t>L</w:t>
                  </w:r>
                </w:p>
              </w:tc>
            </w:tr>
          </w:tbl>
          <w:p>
            <w:pPr>
              <w:keepNext/>
              <w:keepLines/>
              <w:pageBreakBefore w:val="0"/>
              <w:bidi w:val="0"/>
              <w:spacing w:line="360" w:lineRule="auto"/>
              <w:rPr>
                <w:rFonts w:hint="eastAsia" w:ascii="Times New Roman" w:hAnsi="Times New Roman" w:eastAsia="宋体" w:cs="Times New Roman"/>
                <w:b/>
                <w:bCs/>
                <w:color w:val="auto"/>
                <w:sz w:val="24"/>
              </w:rPr>
            </w:pPr>
            <w:r>
              <w:rPr>
                <w:rFonts w:hint="default" w:ascii="Times New Roman" w:hAnsi="Times New Roman" w:eastAsia="宋体" w:cs="Times New Roman"/>
                <w:b/>
                <w:bCs/>
                <w:color w:val="auto"/>
                <w:sz w:val="24"/>
                <w:lang w:val="en-US" w:eastAsia="zh-CN"/>
              </w:rPr>
              <w:t>3</w:t>
            </w:r>
            <w:r>
              <w:rPr>
                <w:rFonts w:hint="eastAsia" w:ascii="Times New Roman" w:hAnsi="Times New Roman" w:eastAsia="宋体" w:cs="Times New Roman"/>
                <w:b/>
                <w:bCs/>
                <w:color w:val="auto"/>
                <w:sz w:val="24"/>
                <w:lang w:val="en-US" w:eastAsia="zh-CN"/>
              </w:rPr>
              <w:t xml:space="preserve">、噪声排放标准 </w:t>
            </w:r>
          </w:p>
          <w:p>
            <w:pPr>
              <w:keepNext/>
              <w:keepLines/>
              <w:pageBreakBefore w:val="0"/>
              <w:bidi w:val="0"/>
              <w:spacing w:line="360" w:lineRule="auto"/>
              <w:ind w:firstLine="480" w:firstLineChars="200"/>
              <w:rPr>
                <w:color w:val="auto"/>
                <w:sz w:val="24"/>
              </w:rPr>
            </w:pPr>
            <w:r>
              <w:rPr>
                <w:rFonts w:hint="eastAsia"/>
                <w:color w:val="auto"/>
                <w:sz w:val="24"/>
              </w:rPr>
              <w:t>施工期执行《建筑施工场界环境噪声排放标准》（GB12523-2011），运营期噪声执行《工业企业厂界环境噪声排放标准》（GB12348-2008）中</w:t>
            </w:r>
            <w:r>
              <w:rPr>
                <w:rFonts w:hint="eastAsia"/>
                <w:color w:val="auto"/>
                <w:sz w:val="24"/>
                <w:lang w:val="en-US" w:eastAsia="zh-CN"/>
              </w:rPr>
              <w:t>1</w:t>
            </w:r>
            <w:r>
              <w:rPr>
                <w:rFonts w:hint="eastAsia"/>
                <w:color w:val="auto"/>
                <w:sz w:val="24"/>
              </w:rPr>
              <w:t>类标准，具体见表</w:t>
            </w:r>
            <w:r>
              <w:rPr>
                <w:rFonts w:hint="eastAsia"/>
                <w:color w:val="auto"/>
                <w:sz w:val="24"/>
                <w:lang w:val="en-US" w:eastAsia="zh-CN"/>
              </w:rPr>
              <w:t>3</w:t>
            </w:r>
            <w:r>
              <w:rPr>
                <w:rFonts w:hint="eastAsia"/>
                <w:color w:val="auto"/>
                <w:sz w:val="24"/>
              </w:rPr>
              <w:t>-</w:t>
            </w:r>
            <w:r>
              <w:rPr>
                <w:rFonts w:hint="eastAsia"/>
                <w:color w:val="auto"/>
                <w:sz w:val="24"/>
                <w:lang w:val="en-US" w:eastAsia="zh-CN"/>
              </w:rPr>
              <w:t>7</w:t>
            </w:r>
            <w:r>
              <w:rPr>
                <w:rFonts w:hint="eastAsia"/>
                <w:color w:val="auto"/>
                <w:sz w:val="24"/>
              </w:rPr>
              <w:t>，</w:t>
            </w:r>
            <w:r>
              <w:rPr>
                <w:rFonts w:hint="eastAsia"/>
                <w:color w:val="auto"/>
                <w:sz w:val="24"/>
                <w:lang w:val="en-US" w:eastAsia="zh-CN"/>
              </w:rPr>
              <w:t>3</w:t>
            </w:r>
            <w:r>
              <w:rPr>
                <w:rFonts w:hint="eastAsia"/>
                <w:color w:val="auto"/>
                <w:sz w:val="24"/>
              </w:rPr>
              <w:t>-</w:t>
            </w:r>
            <w:r>
              <w:rPr>
                <w:rFonts w:hint="eastAsia"/>
                <w:color w:val="auto"/>
                <w:sz w:val="24"/>
                <w:lang w:val="en-US" w:eastAsia="zh-CN"/>
              </w:rPr>
              <w:t>8</w:t>
            </w:r>
            <w:r>
              <w:rPr>
                <w:rFonts w:hint="eastAsia"/>
                <w:color w:val="auto"/>
                <w:sz w:val="24"/>
              </w:rPr>
              <w:t>。</w:t>
            </w:r>
          </w:p>
          <w:p>
            <w:pPr>
              <w:pStyle w:val="27"/>
              <w:bidi w:val="0"/>
              <w:rPr>
                <w:color w:val="auto"/>
              </w:rPr>
            </w:pPr>
            <w:r>
              <w:rPr>
                <w:rFonts w:hint="eastAsia"/>
                <w:color w:val="auto"/>
              </w:rPr>
              <w:t>表</w:t>
            </w:r>
            <w:r>
              <w:rPr>
                <w:rFonts w:hint="eastAsia"/>
                <w:color w:val="auto"/>
                <w:lang w:val="en-US" w:eastAsia="zh-CN"/>
              </w:rPr>
              <w:t>3</w:t>
            </w:r>
            <w:r>
              <w:rPr>
                <w:rFonts w:hint="eastAsia"/>
                <w:color w:val="auto"/>
              </w:rPr>
              <w:t>-</w:t>
            </w:r>
            <w:r>
              <w:rPr>
                <w:rFonts w:hint="eastAsia"/>
                <w:color w:val="auto"/>
                <w:lang w:val="en-US" w:eastAsia="zh-CN"/>
              </w:rPr>
              <w:t>7</w:t>
            </w:r>
            <w:r>
              <w:rPr>
                <w:rFonts w:hint="eastAsia"/>
                <w:color w:val="auto"/>
              </w:rPr>
              <w:t xml:space="preserve"> 建筑施工场界环境噪声排放标准 单位：dB（A）</w:t>
            </w:r>
          </w:p>
          <w:tbl>
            <w:tblPr>
              <w:tblStyle w:val="21"/>
              <w:tblW w:w="4998" w:type="pct"/>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919"/>
              <w:gridCol w:w="1145"/>
              <w:gridCol w:w="1215"/>
              <w:gridCol w:w="36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208" w:type="pct"/>
                  <w:tcBorders>
                    <w:tl2br w:val="nil"/>
                    <w:tr2bl w:val="nil"/>
                  </w:tcBorders>
                  <w:noWrap w:val="0"/>
                  <w:vAlign w:val="center"/>
                </w:tcPr>
                <w:p>
                  <w:pPr>
                    <w:pStyle w:val="49"/>
                    <w:keepNext/>
                    <w:keepLines/>
                    <w:pageBreakBefore w:val="0"/>
                    <w:bidi w:val="0"/>
                    <w:ind w:left="177" w:leftChars="0" w:right="329" w:rightChars="0" w:hanging="177" w:hangingChars="84"/>
                    <w:jc w:val="center"/>
                    <w:rPr>
                      <w:b/>
                      <w:color w:val="auto"/>
                      <w:sz w:val="21"/>
                    </w:rPr>
                  </w:pPr>
                  <w:r>
                    <w:rPr>
                      <w:rFonts w:hint="eastAsia"/>
                      <w:b/>
                      <w:color w:val="auto"/>
                      <w:sz w:val="21"/>
                    </w:rPr>
                    <w:t>类别</w:t>
                  </w:r>
                </w:p>
              </w:tc>
              <w:tc>
                <w:tcPr>
                  <w:tcW w:w="1485" w:type="pct"/>
                  <w:gridSpan w:val="2"/>
                  <w:tcBorders>
                    <w:tl2br w:val="nil"/>
                    <w:tr2bl w:val="nil"/>
                  </w:tcBorders>
                  <w:noWrap w:val="0"/>
                  <w:vAlign w:val="center"/>
                </w:tcPr>
                <w:p>
                  <w:pPr>
                    <w:pStyle w:val="49"/>
                    <w:keepNext/>
                    <w:keepLines/>
                    <w:pageBreakBefore w:val="0"/>
                    <w:bidi w:val="0"/>
                    <w:ind w:left="956" w:right="415" w:rightChars="0"/>
                    <w:jc w:val="center"/>
                    <w:rPr>
                      <w:b/>
                      <w:color w:val="auto"/>
                      <w:sz w:val="21"/>
                    </w:rPr>
                  </w:pPr>
                  <w:r>
                    <w:rPr>
                      <w:rFonts w:hint="eastAsia"/>
                      <w:b/>
                      <w:color w:val="auto"/>
                      <w:sz w:val="21"/>
                    </w:rPr>
                    <w:t>标准值</w:t>
                  </w:r>
                </w:p>
              </w:tc>
              <w:tc>
                <w:tcPr>
                  <w:tcW w:w="2306" w:type="pct"/>
                  <w:tcBorders>
                    <w:tl2br w:val="nil"/>
                    <w:tr2bl w:val="nil"/>
                  </w:tcBorders>
                  <w:noWrap w:val="0"/>
                  <w:vAlign w:val="center"/>
                </w:tcPr>
                <w:p>
                  <w:pPr>
                    <w:pStyle w:val="49"/>
                    <w:keepNext/>
                    <w:keepLines/>
                    <w:pageBreakBefore w:val="0"/>
                    <w:bidi w:val="0"/>
                    <w:ind w:left="123" w:right="101"/>
                    <w:jc w:val="center"/>
                    <w:rPr>
                      <w:b/>
                      <w:color w:val="auto"/>
                      <w:sz w:val="21"/>
                    </w:rPr>
                  </w:pPr>
                  <w:r>
                    <w:rPr>
                      <w:rFonts w:hint="eastAsia"/>
                      <w:b/>
                      <w:color w:val="auto"/>
                      <w:sz w:val="21"/>
                    </w:rPr>
                    <w:t>标准来源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208" w:type="pct"/>
                  <w:vMerge w:val="restart"/>
                  <w:tcBorders>
                    <w:tl2br w:val="nil"/>
                    <w:tr2bl w:val="nil"/>
                  </w:tcBorders>
                  <w:noWrap w:val="0"/>
                  <w:vAlign w:val="center"/>
                </w:tcPr>
                <w:p>
                  <w:pPr>
                    <w:pStyle w:val="49"/>
                    <w:keepNext/>
                    <w:keepLines/>
                    <w:pageBreakBefore w:val="0"/>
                    <w:bidi w:val="0"/>
                    <w:ind w:left="207" w:leftChars="0" w:hanging="207" w:hangingChars="99"/>
                    <w:jc w:val="center"/>
                    <w:rPr>
                      <w:color w:val="auto"/>
                      <w:sz w:val="21"/>
                    </w:rPr>
                  </w:pPr>
                  <w:r>
                    <w:rPr>
                      <w:rFonts w:hint="eastAsia"/>
                      <w:color w:val="auto"/>
                      <w:sz w:val="21"/>
                    </w:rPr>
                    <w:t>建筑施工场界噪声</w:t>
                  </w:r>
                </w:p>
              </w:tc>
              <w:tc>
                <w:tcPr>
                  <w:tcW w:w="720" w:type="pct"/>
                  <w:tcBorders>
                    <w:tl2br w:val="nil"/>
                    <w:tr2bl w:val="nil"/>
                  </w:tcBorders>
                  <w:noWrap w:val="0"/>
                  <w:vAlign w:val="center"/>
                </w:tcPr>
                <w:p>
                  <w:pPr>
                    <w:pStyle w:val="49"/>
                    <w:keepNext/>
                    <w:keepLines/>
                    <w:pageBreakBefore w:val="0"/>
                    <w:bidi w:val="0"/>
                    <w:ind w:left="417" w:right="-38" w:rightChars="0"/>
                    <w:jc w:val="both"/>
                    <w:rPr>
                      <w:color w:val="auto"/>
                      <w:sz w:val="21"/>
                    </w:rPr>
                  </w:pPr>
                  <w:r>
                    <w:rPr>
                      <w:rFonts w:hint="eastAsia"/>
                      <w:color w:val="auto"/>
                      <w:sz w:val="21"/>
                    </w:rPr>
                    <w:t>昼间</w:t>
                  </w:r>
                </w:p>
              </w:tc>
              <w:tc>
                <w:tcPr>
                  <w:tcW w:w="764" w:type="pct"/>
                  <w:tcBorders>
                    <w:tl2br w:val="nil"/>
                    <w:tr2bl w:val="nil"/>
                  </w:tcBorders>
                  <w:noWrap w:val="0"/>
                  <w:vAlign w:val="center"/>
                </w:tcPr>
                <w:p>
                  <w:pPr>
                    <w:pStyle w:val="49"/>
                    <w:keepNext/>
                    <w:keepLines/>
                    <w:pageBreakBefore w:val="0"/>
                    <w:bidi w:val="0"/>
                    <w:ind w:right="-178" w:rightChars="0" w:firstLine="420" w:firstLineChars="200"/>
                    <w:jc w:val="both"/>
                    <w:rPr>
                      <w:color w:val="auto"/>
                      <w:sz w:val="21"/>
                    </w:rPr>
                  </w:pPr>
                  <w:r>
                    <w:rPr>
                      <w:rFonts w:hint="eastAsia"/>
                      <w:color w:val="auto"/>
                      <w:sz w:val="21"/>
                    </w:rPr>
                    <w:t>夜间</w:t>
                  </w:r>
                </w:p>
              </w:tc>
              <w:tc>
                <w:tcPr>
                  <w:tcW w:w="2306" w:type="pct"/>
                  <w:vMerge w:val="restart"/>
                  <w:tcBorders>
                    <w:tl2br w:val="nil"/>
                    <w:tr2bl w:val="nil"/>
                  </w:tcBorders>
                  <w:noWrap w:val="0"/>
                  <w:vAlign w:val="center"/>
                </w:tcPr>
                <w:p>
                  <w:pPr>
                    <w:pStyle w:val="49"/>
                    <w:keepNext/>
                    <w:keepLines/>
                    <w:pageBreakBefore w:val="0"/>
                    <w:bidi w:val="0"/>
                    <w:ind w:left="123" w:right="106"/>
                    <w:jc w:val="center"/>
                    <w:rPr>
                      <w:color w:val="auto"/>
                      <w:sz w:val="21"/>
                    </w:rPr>
                  </w:pPr>
                  <w:r>
                    <w:rPr>
                      <w:rFonts w:hint="eastAsia"/>
                      <w:color w:val="auto"/>
                      <w:sz w:val="21"/>
                    </w:rPr>
                    <w:t>《建筑施工场界环境噪声排放标准》</w:t>
                  </w:r>
                </w:p>
                <w:p>
                  <w:pPr>
                    <w:pStyle w:val="49"/>
                    <w:keepNext/>
                    <w:keepLines/>
                    <w:pageBreakBefore w:val="0"/>
                    <w:bidi w:val="0"/>
                    <w:ind w:left="123" w:right="104"/>
                    <w:jc w:val="center"/>
                    <w:rPr>
                      <w:color w:val="auto"/>
                      <w:sz w:val="21"/>
                    </w:rPr>
                  </w:pPr>
                  <w:r>
                    <w:rPr>
                      <w:rFonts w:hint="eastAsia"/>
                      <w:color w:val="auto"/>
                      <w:sz w:val="21"/>
                    </w:rPr>
                    <w:t>（</w:t>
                  </w:r>
                  <w:r>
                    <w:rPr>
                      <w:rFonts w:ascii="Times New Roman" w:eastAsia="Times New Roman"/>
                      <w:color w:val="auto"/>
                      <w:sz w:val="21"/>
                    </w:rPr>
                    <w:t>GB12523-2011</w:t>
                  </w:r>
                  <w:r>
                    <w:rPr>
                      <w:rFonts w:hint="eastAsia"/>
                      <w:color w:val="auto"/>
                      <w:sz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9" w:hRule="atLeast"/>
              </w:trPr>
              <w:tc>
                <w:tcPr>
                  <w:tcW w:w="1208" w:type="pct"/>
                  <w:vMerge w:val="continue"/>
                  <w:tcBorders>
                    <w:tl2br w:val="nil"/>
                    <w:tr2bl w:val="nil"/>
                  </w:tcBorders>
                  <w:noWrap w:val="0"/>
                  <w:vAlign w:val="center"/>
                </w:tcPr>
                <w:p>
                  <w:pPr>
                    <w:keepNext/>
                    <w:keepLines/>
                    <w:pageBreakBefore w:val="0"/>
                    <w:bidi w:val="0"/>
                    <w:jc w:val="center"/>
                    <w:rPr>
                      <w:color w:val="auto"/>
                      <w:sz w:val="2"/>
                    </w:rPr>
                  </w:pPr>
                </w:p>
              </w:tc>
              <w:tc>
                <w:tcPr>
                  <w:tcW w:w="720" w:type="pct"/>
                  <w:tcBorders>
                    <w:tl2br w:val="nil"/>
                    <w:tr2bl w:val="nil"/>
                  </w:tcBorders>
                  <w:noWrap w:val="0"/>
                  <w:vAlign w:val="center"/>
                </w:tcPr>
                <w:p>
                  <w:pPr>
                    <w:pStyle w:val="49"/>
                    <w:keepNext/>
                    <w:keepLines/>
                    <w:pageBreakBefore w:val="0"/>
                    <w:bidi w:val="0"/>
                    <w:ind w:left="417" w:right="391"/>
                    <w:jc w:val="center"/>
                    <w:rPr>
                      <w:rFonts w:ascii="Times New Roman"/>
                      <w:color w:val="auto"/>
                      <w:sz w:val="21"/>
                    </w:rPr>
                  </w:pPr>
                  <w:r>
                    <w:rPr>
                      <w:rFonts w:ascii="Times New Roman"/>
                      <w:color w:val="auto"/>
                      <w:sz w:val="21"/>
                    </w:rPr>
                    <w:t>70</w:t>
                  </w:r>
                </w:p>
              </w:tc>
              <w:tc>
                <w:tcPr>
                  <w:tcW w:w="764" w:type="pct"/>
                  <w:tcBorders>
                    <w:tl2br w:val="nil"/>
                    <w:tr2bl w:val="nil"/>
                  </w:tcBorders>
                  <w:noWrap w:val="0"/>
                  <w:vAlign w:val="center"/>
                </w:tcPr>
                <w:p>
                  <w:pPr>
                    <w:pStyle w:val="49"/>
                    <w:keepNext/>
                    <w:keepLines/>
                    <w:pageBreakBefore w:val="0"/>
                    <w:bidi w:val="0"/>
                    <w:ind w:left="417" w:right="388"/>
                    <w:jc w:val="center"/>
                    <w:rPr>
                      <w:rFonts w:ascii="Times New Roman"/>
                      <w:color w:val="auto"/>
                      <w:sz w:val="21"/>
                    </w:rPr>
                  </w:pPr>
                  <w:r>
                    <w:rPr>
                      <w:rFonts w:ascii="Times New Roman"/>
                      <w:color w:val="auto"/>
                      <w:sz w:val="21"/>
                    </w:rPr>
                    <w:t>55</w:t>
                  </w:r>
                </w:p>
              </w:tc>
              <w:tc>
                <w:tcPr>
                  <w:tcW w:w="2306" w:type="pct"/>
                  <w:vMerge w:val="continue"/>
                  <w:tcBorders>
                    <w:tl2br w:val="nil"/>
                    <w:tr2bl w:val="nil"/>
                  </w:tcBorders>
                  <w:noWrap w:val="0"/>
                  <w:vAlign w:val="center"/>
                </w:tcPr>
                <w:p>
                  <w:pPr>
                    <w:keepNext/>
                    <w:keepLines/>
                    <w:pageBreakBefore w:val="0"/>
                    <w:bidi w:val="0"/>
                    <w:jc w:val="center"/>
                    <w:rPr>
                      <w:color w:val="auto"/>
                      <w:sz w:val="2"/>
                    </w:rPr>
                  </w:pPr>
                </w:p>
              </w:tc>
            </w:tr>
          </w:tbl>
          <w:p>
            <w:pPr>
              <w:pStyle w:val="27"/>
              <w:bidi w:val="0"/>
              <w:rPr>
                <w:color w:val="auto"/>
              </w:rPr>
            </w:pPr>
            <w:r>
              <w:rPr>
                <w:rFonts w:hint="eastAsia"/>
                <w:color w:val="auto"/>
              </w:rPr>
              <w:t xml:space="preserve">表 </w:t>
            </w:r>
            <w:r>
              <w:rPr>
                <w:rFonts w:hint="eastAsia"/>
                <w:color w:val="auto"/>
                <w:lang w:val="en-US" w:eastAsia="zh-CN"/>
              </w:rPr>
              <w:t xml:space="preserve">        3</w:t>
            </w:r>
            <w:r>
              <w:rPr>
                <w:rFonts w:hint="eastAsia"/>
                <w:color w:val="auto"/>
              </w:rPr>
              <w:t>-</w:t>
            </w:r>
            <w:r>
              <w:rPr>
                <w:rFonts w:hint="eastAsia"/>
                <w:color w:val="auto"/>
                <w:lang w:val="en-US" w:eastAsia="zh-CN"/>
              </w:rPr>
              <w:t xml:space="preserve">8 </w:t>
            </w:r>
            <w:r>
              <w:rPr>
                <w:rFonts w:hint="eastAsia"/>
                <w:color w:val="auto"/>
              </w:rPr>
              <w:fldChar w:fldCharType="begin"/>
            </w:r>
            <w:r>
              <w:rPr>
                <w:rFonts w:hint="eastAsia"/>
                <w:color w:val="auto"/>
              </w:rPr>
              <w:instrText xml:space="preserve"> HYPERLINK "https://www.baidu.com/link?url=ERQIDVRdU7fplh2CgwU2Ak2j2qSCcIZUbe3aHe1VhrqEg7lC7i-QnCnZkHLCqqNL0UScbsi9KUcO8Ni6a3pjdt479ttFEmIYj8eI3Hre8TO&amp;amp;wd&amp;amp;eqid=8fac60f00003783d0000000558428571" \h </w:instrText>
            </w:r>
            <w:r>
              <w:rPr>
                <w:rFonts w:hint="eastAsia"/>
                <w:color w:val="auto"/>
              </w:rPr>
              <w:fldChar w:fldCharType="separate"/>
            </w:r>
            <w:r>
              <w:rPr>
                <w:rFonts w:hint="eastAsia"/>
                <w:color w:val="auto"/>
              </w:rPr>
              <w:t>工业企业厂界环境噪声排放限值</w:t>
            </w:r>
            <w:r>
              <w:rPr>
                <w:rFonts w:hint="eastAsia"/>
                <w:color w:val="auto"/>
              </w:rPr>
              <w:fldChar w:fldCharType="end"/>
            </w:r>
            <w:r>
              <w:rPr>
                <w:rFonts w:hint="eastAsia"/>
                <w:color w:val="auto"/>
              </w:rPr>
              <w:t xml:space="preserve">  单位：dB(A)</w:t>
            </w:r>
          </w:p>
          <w:tbl>
            <w:tblPr>
              <w:tblStyle w:val="21"/>
              <w:tblW w:w="7964"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926"/>
              <w:gridCol w:w="1145"/>
              <w:gridCol w:w="1214"/>
              <w:gridCol w:w="3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926" w:type="dxa"/>
                  <w:tcBorders>
                    <w:tl2br w:val="nil"/>
                    <w:tr2bl w:val="nil"/>
                  </w:tcBorders>
                  <w:noWrap w:val="0"/>
                  <w:vAlign w:val="center"/>
                </w:tcPr>
                <w:p>
                  <w:pPr>
                    <w:pStyle w:val="49"/>
                    <w:keepNext/>
                    <w:keepLines/>
                    <w:pageBreakBefore w:val="0"/>
                    <w:bidi w:val="0"/>
                    <w:ind w:left="1012" w:leftChars="0" w:right="16" w:rightChars="0" w:hanging="1012" w:hangingChars="480"/>
                    <w:jc w:val="center"/>
                    <w:rPr>
                      <w:b/>
                      <w:color w:val="auto"/>
                      <w:sz w:val="21"/>
                    </w:rPr>
                  </w:pPr>
                  <w:r>
                    <w:rPr>
                      <w:rFonts w:hint="eastAsia"/>
                      <w:b/>
                      <w:color w:val="auto"/>
                      <w:sz w:val="21"/>
                    </w:rPr>
                    <w:t>类别</w:t>
                  </w:r>
                </w:p>
              </w:tc>
              <w:tc>
                <w:tcPr>
                  <w:tcW w:w="2359" w:type="dxa"/>
                  <w:gridSpan w:val="2"/>
                  <w:tcBorders>
                    <w:tl2br w:val="nil"/>
                    <w:tr2bl w:val="nil"/>
                  </w:tcBorders>
                  <w:noWrap w:val="0"/>
                  <w:vAlign w:val="center"/>
                </w:tcPr>
                <w:p>
                  <w:pPr>
                    <w:pStyle w:val="49"/>
                    <w:keepNext/>
                    <w:keepLines/>
                    <w:pageBreakBefore w:val="0"/>
                    <w:bidi w:val="0"/>
                    <w:ind w:left="943" w:leftChars="104" w:right="216" w:rightChars="103" w:hanging="725" w:hangingChars="344"/>
                    <w:jc w:val="center"/>
                    <w:rPr>
                      <w:b/>
                      <w:color w:val="auto"/>
                      <w:sz w:val="21"/>
                    </w:rPr>
                  </w:pPr>
                  <w:r>
                    <w:rPr>
                      <w:rFonts w:hint="eastAsia"/>
                      <w:b/>
                      <w:color w:val="auto"/>
                      <w:sz w:val="21"/>
                    </w:rPr>
                    <w:t>标准值</w:t>
                  </w:r>
                </w:p>
              </w:tc>
              <w:tc>
                <w:tcPr>
                  <w:tcW w:w="3679" w:type="dxa"/>
                  <w:tcBorders>
                    <w:tl2br w:val="nil"/>
                    <w:tr2bl w:val="nil"/>
                  </w:tcBorders>
                  <w:noWrap w:val="0"/>
                  <w:vAlign w:val="center"/>
                </w:tcPr>
                <w:p>
                  <w:pPr>
                    <w:pStyle w:val="49"/>
                    <w:keepNext/>
                    <w:keepLines/>
                    <w:pageBreakBefore w:val="0"/>
                    <w:bidi w:val="0"/>
                    <w:ind w:left="107" w:right="83"/>
                    <w:jc w:val="center"/>
                    <w:rPr>
                      <w:b/>
                      <w:color w:val="auto"/>
                      <w:sz w:val="21"/>
                    </w:rPr>
                  </w:pPr>
                  <w:r>
                    <w:rPr>
                      <w:rFonts w:hint="eastAsia"/>
                      <w:b/>
                      <w:color w:val="auto"/>
                      <w:sz w:val="21"/>
                    </w:rPr>
                    <w:t>标准来源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9" w:hRule="atLeast"/>
              </w:trPr>
              <w:tc>
                <w:tcPr>
                  <w:tcW w:w="1926" w:type="dxa"/>
                  <w:vMerge w:val="restart"/>
                  <w:tcBorders>
                    <w:tl2br w:val="nil"/>
                    <w:tr2bl w:val="nil"/>
                  </w:tcBorders>
                  <w:noWrap w:val="0"/>
                  <w:vAlign w:val="center"/>
                </w:tcPr>
                <w:p>
                  <w:pPr>
                    <w:pStyle w:val="49"/>
                    <w:keepNext/>
                    <w:keepLines/>
                    <w:pageBreakBefore w:val="0"/>
                    <w:bidi w:val="0"/>
                    <w:ind w:left="382" w:leftChars="0" w:right="-184" w:rightChars="0" w:hanging="382" w:hangingChars="182"/>
                    <w:jc w:val="center"/>
                    <w:rPr>
                      <w:color w:val="auto"/>
                      <w:sz w:val="21"/>
                    </w:rPr>
                  </w:pPr>
                  <w:r>
                    <w:rPr>
                      <w:rFonts w:hint="eastAsia" w:ascii="Times New Roman" w:eastAsia="宋体"/>
                      <w:color w:val="auto"/>
                      <w:sz w:val="21"/>
                      <w:lang w:val="en-US" w:eastAsia="zh-CN"/>
                    </w:rPr>
                    <w:t>1</w:t>
                  </w:r>
                  <w:r>
                    <w:rPr>
                      <w:rFonts w:hint="eastAsia"/>
                      <w:color w:val="auto"/>
                      <w:sz w:val="21"/>
                    </w:rPr>
                    <w:t>类</w:t>
                  </w:r>
                </w:p>
              </w:tc>
              <w:tc>
                <w:tcPr>
                  <w:tcW w:w="1145" w:type="dxa"/>
                  <w:tcBorders>
                    <w:tl2br w:val="nil"/>
                    <w:tr2bl w:val="nil"/>
                  </w:tcBorders>
                  <w:noWrap w:val="0"/>
                  <w:vAlign w:val="center"/>
                </w:tcPr>
                <w:p>
                  <w:pPr>
                    <w:pStyle w:val="49"/>
                    <w:keepNext/>
                    <w:keepLines/>
                    <w:pageBreakBefore w:val="0"/>
                    <w:bidi w:val="0"/>
                    <w:ind w:left="940" w:leftChars="104" w:right="216" w:rightChars="103" w:hanging="722" w:hangingChars="344"/>
                    <w:jc w:val="center"/>
                    <w:rPr>
                      <w:color w:val="auto"/>
                      <w:sz w:val="21"/>
                    </w:rPr>
                  </w:pPr>
                  <w:r>
                    <w:rPr>
                      <w:rFonts w:hint="eastAsia"/>
                      <w:color w:val="auto"/>
                      <w:sz w:val="21"/>
                    </w:rPr>
                    <w:t>昼间</w:t>
                  </w:r>
                </w:p>
              </w:tc>
              <w:tc>
                <w:tcPr>
                  <w:tcW w:w="1214" w:type="dxa"/>
                  <w:tcBorders>
                    <w:tl2br w:val="nil"/>
                    <w:tr2bl w:val="nil"/>
                  </w:tcBorders>
                  <w:noWrap w:val="0"/>
                  <w:vAlign w:val="center"/>
                </w:tcPr>
                <w:p>
                  <w:pPr>
                    <w:pStyle w:val="49"/>
                    <w:keepNext/>
                    <w:keepLines/>
                    <w:pageBreakBefore w:val="0"/>
                    <w:bidi w:val="0"/>
                    <w:ind w:left="940" w:leftChars="104" w:right="216" w:rightChars="103" w:hanging="722" w:hangingChars="344"/>
                    <w:jc w:val="center"/>
                    <w:rPr>
                      <w:color w:val="auto"/>
                      <w:sz w:val="21"/>
                    </w:rPr>
                  </w:pPr>
                  <w:r>
                    <w:rPr>
                      <w:rFonts w:hint="eastAsia"/>
                      <w:color w:val="auto"/>
                      <w:sz w:val="21"/>
                    </w:rPr>
                    <w:t>夜间</w:t>
                  </w:r>
                </w:p>
              </w:tc>
              <w:tc>
                <w:tcPr>
                  <w:tcW w:w="3679" w:type="dxa"/>
                  <w:vMerge w:val="restart"/>
                  <w:tcBorders>
                    <w:tl2br w:val="nil"/>
                    <w:tr2bl w:val="nil"/>
                  </w:tcBorders>
                  <w:noWrap w:val="0"/>
                  <w:vAlign w:val="center"/>
                </w:tcPr>
                <w:p>
                  <w:pPr>
                    <w:pStyle w:val="49"/>
                    <w:keepNext/>
                    <w:keepLines/>
                    <w:pageBreakBefore w:val="0"/>
                    <w:bidi w:val="0"/>
                    <w:ind w:left="107" w:right="88"/>
                    <w:jc w:val="center"/>
                    <w:rPr>
                      <w:color w:val="auto"/>
                      <w:sz w:val="21"/>
                    </w:rPr>
                  </w:pPr>
                  <w:r>
                    <w:rPr>
                      <w:rFonts w:hint="eastAsia"/>
                      <w:color w:val="auto"/>
                      <w:sz w:val="21"/>
                    </w:rPr>
                    <w:t>《工业企业厂界环境噪声排放标准》</w:t>
                  </w:r>
                </w:p>
                <w:p>
                  <w:pPr>
                    <w:pStyle w:val="49"/>
                    <w:keepNext/>
                    <w:keepLines/>
                    <w:pageBreakBefore w:val="0"/>
                    <w:bidi w:val="0"/>
                    <w:ind w:left="107" w:right="88"/>
                    <w:jc w:val="center"/>
                    <w:rPr>
                      <w:color w:val="auto"/>
                      <w:sz w:val="21"/>
                    </w:rPr>
                  </w:pPr>
                  <w:r>
                    <w:rPr>
                      <w:rFonts w:hint="eastAsia"/>
                      <w:color w:val="auto"/>
                      <w:sz w:val="21"/>
                    </w:rPr>
                    <w:t>（</w:t>
                  </w:r>
                  <w:r>
                    <w:rPr>
                      <w:rFonts w:ascii="Times New Roman" w:eastAsia="Times New Roman"/>
                      <w:color w:val="auto"/>
                      <w:sz w:val="21"/>
                    </w:rPr>
                    <w:t>GB12348-2008</w:t>
                  </w:r>
                  <w:r>
                    <w:rPr>
                      <w:rFonts w:hint="eastAsia"/>
                      <w:color w:val="auto"/>
                      <w:sz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1926" w:type="dxa"/>
                  <w:vMerge w:val="continue"/>
                  <w:tcBorders>
                    <w:tl2br w:val="nil"/>
                    <w:tr2bl w:val="nil"/>
                  </w:tcBorders>
                  <w:noWrap w:val="0"/>
                  <w:vAlign w:val="center"/>
                </w:tcPr>
                <w:p>
                  <w:pPr>
                    <w:pStyle w:val="49"/>
                    <w:keepNext/>
                    <w:keepLines/>
                    <w:pageBreakBefore w:val="0"/>
                    <w:bidi w:val="0"/>
                    <w:ind w:left="804" w:right="771"/>
                    <w:jc w:val="center"/>
                    <w:rPr>
                      <w:color w:val="auto"/>
                      <w:sz w:val="21"/>
                    </w:rPr>
                  </w:pPr>
                </w:p>
              </w:tc>
              <w:tc>
                <w:tcPr>
                  <w:tcW w:w="1145" w:type="dxa"/>
                  <w:tcBorders>
                    <w:tl2br w:val="nil"/>
                    <w:tr2bl w:val="nil"/>
                  </w:tcBorders>
                  <w:noWrap w:val="0"/>
                  <w:vAlign w:val="center"/>
                </w:tcPr>
                <w:p>
                  <w:pPr>
                    <w:pStyle w:val="49"/>
                    <w:keepNext/>
                    <w:keepLines/>
                    <w:pageBreakBefore w:val="0"/>
                    <w:bidi w:val="0"/>
                    <w:ind w:left="940" w:leftChars="104" w:right="216" w:rightChars="103" w:hanging="722" w:hangingChars="344"/>
                    <w:jc w:val="center"/>
                    <w:rPr>
                      <w:rFonts w:hint="default" w:ascii="Times New Roman" w:eastAsia="宋体"/>
                      <w:color w:val="auto"/>
                      <w:sz w:val="21"/>
                      <w:lang w:val="en-US" w:eastAsia="zh-CN"/>
                    </w:rPr>
                  </w:pPr>
                  <w:r>
                    <w:rPr>
                      <w:rFonts w:hint="eastAsia" w:ascii="Times New Roman" w:eastAsia="宋体"/>
                      <w:color w:val="auto"/>
                      <w:sz w:val="21"/>
                      <w:lang w:val="en-US" w:eastAsia="zh-CN"/>
                    </w:rPr>
                    <w:t>55</w:t>
                  </w:r>
                </w:p>
              </w:tc>
              <w:tc>
                <w:tcPr>
                  <w:tcW w:w="1214" w:type="dxa"/>
                  <w:tcBorders>
                    <w:tl2br w:val="nil"/>
                    <w:tr2bl w:val="nil"/>
                  </w:tcBorders>
                  <w:noWrap w:val="0"/>
                  <w:vAlign w:val="center"/>
                </w:tcPr>
                <w:p>
                  <w:pPr>
                    <w:pStyle w:val="49"/>
                    <w:keepNext/>
                    <w:keepLines/>
                    <w:pageBreakBefore w:val="0"/>
                    <w:bidi w:val="0"/>
                    <w:ind w:left="940" w:leftChars="104" w:right="216" w:rightChars="103" w:hanging="722" w:hangingChars="344"/>
                    <w:jc w:val="center"/>
                    <w:rPr>
                      <w:rFonts w:hint="default" w:ascii="Times New Roman" w:eastAsia="宋体"/>
                      <w:color w:val="auto"/>
                      <w:sz w:val="21"/>
                      <w:lang w:val="en-US" w:eastAsia="zh-CN"/>
                    </w:rPr>
                  </w:pPr>
                  <w:r>
                    <w:rPr>
                      <w:rFonts w:hint="eastAsia" w:ascii="Times New Roman" w:eastAsia="宋体"/>
                      <w:color w:val="auto"/>
                      <w:sz w:val="21"/>
                      <w:lang w:val="en-US" w:eastAsia="zh-CN"/>
                    </w:rPr>
                    <w:t>45</w:t>
                  </w:r>
                </w:p>
              </w:tc>
              <w:tc>
                <w:tcPr>
                  <w:tcW w:w="3679" w:type="dxa"/>
                  <w:vMerge w:val="continue"/>
                  <w:tcBorders>
                    <w:tl2br w:val="nil"/>
                    <w:tr2bl w:val="nil"/>
                  </w:tcBorders>
                  <w:noWrap w:val="0"/>
                  <w:vAlign w:val="center"/>
                </w:tcPr>
                <w:p>
                  <w:pPr>
                    <w:keepNext/>
                    <w:keepLines/>
                    <w:pageBreakBefore w:val="0"/>
                    <w:bidi w:val="0"/>
                    <w:jc w:val="center"/>
                    <w:rPr>
                      <w:color w:val="auto"/>
                      <w:sz w:val="2"/>
                    </w:rPr>
                  </w:pPr>
                </w:p>
              </w:tc>
            </w:tr>
          </w:tbl>
          <w:p>
            <w:pPr>
              <w:keepNext/>
              <w:keepLines/>
              <w:pageBreakBefore w:val="0"/>
              <w:bidi w:val="0"/>
              <w:spacing w:line="360" w:lineRule="auto"/>
              <w:rPr>
                <w:rFonts w:hint="eastAsia" w:ascii="Times New Roman" w:hAnsi="Times New Roman" w:eastAsia="宋体" w:cs="Times New Roman"/>
                <w:color w:val="auto"/>
                <w:sz w:val="24"/>
              </w:rPr>
            </w:pPr>
            <w:r>
              <w:rPr>
                <w:rFonts w:hint="eastAsia" w:ascii="Times New Roman" w:hAnsi="Times New Roman" w:eastAsia="宋体" w:cs="Times New Roman"/>
                <w:b/>
                <w:bCs/>
                <w:color w:val="auto"/>
                <w:sz w:val="24"/>
                <w:lang w:val="en-US" w:eastAsia="zh-CN"/>
              </w:rPr>
              <w:t>4、固废</w:t>
            </w:r>
          </w:p>
          <w:p>
            <w:pPr>
              <w:keepNext/>
              <w:keepLines/>
              <w:pageBreakBefore w:val="0"/>
              <w:bidi w:val="0"/>
              <w:spacing w:line="360" w:lineRule="auto"/>
              <w:ind w:firstLine="480" w:firstLineChars="200"/>
              <w:rPr>
                <w:rFonts w:ascii="宋体" w:hAnsi="宋体" w:cs="宋体"/>
                <w:color w:val="auto"/>
                <w:kern w:val="0"/>
                <w:szCs w:val="21"/>
              </w:rPr>
            </w:pPr>
            <w:r>
              <w:rPr>
                <w:rFonts w:hint="eastAsia" w:ascii="Times New Roman" w:hAnsi="Times New Roman" w:eastAsia="宋体" w:cs="Times New Roman"/>
                <w:color w:val="auto"/>
                <w:sz w:val="24"/>
                <w:lang w:val="en-US" w:eastAsia="zh-CN"/>
              </w:rPr>
              <w:t>一般工业固体废物按《一般工业固体废物贮存和填埋污染控制标准》（GB18599-2020）、危险固废执行《危险废物贮存污染控制标准》（GB18597-20</w:t>
            </w:r>
            <w:r>
              <w:rPr>
                <w:rFonts w:hint="eastAsia" w:cs="Times New Roman"/>
                <w:color w:val="auto"/>
                <w:sz w:val="24"/>
                <w:lang w:val="en-US" w:eastAsia="zh-CN"/>
              </w:rPr>
              <w:t>23</w:t>
            </w:r>
            <w:r>
              <w:rPr>
                <w:rFonts w:hint="eastAsia" w:ascii="Times New Roman" w:hAnsi="Times New Roman" w:eastAsia="宋体" w:cs="Times New Roman"/>
                <w:color w:val="auto"/>
                <w:sz w:val="24"/>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2" w:hRule="atLeast"/>
          <w:jc w:val="center"/>
        </w:trPr>
        <w:tc>
          <w:tcPr>
            <w:tcW w:w="800" w:type="dxa"/>
            <w:noWrap w:val="0"/>
            <w:vAlign w:val="center"/>
          </w:tcPr>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总量</w:t>
            </w:r>
          </w:p>
          <w:p>
            <w:pPr>
              <w:keepNext/>
              <w:keepLines/>
              <w:pageBreakBefore w:val="0"/>
              <w:bidi w:val="0"/>
              <w:adjustRightInd w:val="0"/>
              <w:snapToGrid w:val="0"/>
              <w:jc w:val="center"/>
              <w:rPr>
                <w:rFonts w:hint="eastAsia" w:ascii="宋体" w:hAnsi="宋体" w:cs="宋体"/>
                <w:color w:val="auto"/>
                <w:kern w:val="0"/>
                <w:szCs w:val="21"/>
              </w:rPr>
            </w:pPr>
            <w:r>
              <w:rPr>
                <w:rFonts w:hint="eastAsia" w:ascii="宋体" w:hAnsi="宋体" w:cs="宋体"/>
                <w:color w:val="auto"/>
                <w:kern w:val="0"/>
                <w:szCs w:val="21"/>
              </w:rPr>
              <w:t>控制</w:t>
            </w:r>
          </w:p>
          <w:p>
            <w:pPr>
              <w:keepNext/>
              <w:keepLines/>
              <w:pageBreakBefore w:val="0"/>
              <w:bidi w:val="0"/>
              <w:adjustRightInd w:val="0"/>
              <w:snapToGrid w:val="0"/>
              <w:jc w:val="center"/>
              <w:rPr>
                <w:rFonts w:ascii="宋体" w:hAnsi="宋体" w:cs="宋体"/>
                <w:color w:val="auto"/>
                <w:kern w:val="0"/>
                <w:szCs w:val="21"/>
              </w:rPr>
            </w:pPr>
            <w:r>
              <w:rPr>
                <w:rFonts w:hint="eastAsia" w:ascii="宋体" w:hAnsi="宋体" w:cs="宋体"/>
                <w:color w:val="auto"/>
                <w:kern w:val="0"/>
                <w:szCs w:val="21"/>
              </w:rPr>
              <w:t>指标</w:t>
            </w:r>
          </w:p>
        </w:tc>
        <w:tc>
          <w:tcPr>
            <w:tcW w:w="8190" w:type="dxa"/>
            <w:noWrap w:val="0"/>
            <w:vAlign w:val="center"/>
          </w:tcPr>
          <w:p>
            <w:pPr>
              <w:pStyle w:val="60"/>
              <w:bidi w:val="0"/>
              <w:rPr>
                <w:rFonts w:hint="eastAsia"/>
                <w:color w:val="auto"/>
                <w:lang w:eastAsia="zh-CN"/>
              </w:rPr>
            </w:pPr>
            <w:r>
              <w:rPr>
                <w:rFonts w:hint="eastAsia"/>
                <w:color w:val="auto"/>
              </w:rPr>
              <w:t>根据《青海省建设项目主要污染物总量指标审核管理暂行办法》的通知等，并结合本项目排污特点、所在区域环境质量现状等因素综合考虑，本次环评建议对COD、</w:t>
            </w:r>
            <w:r>
              <w:rPr>
                <w:rFonts w:hint="eastAsia"/>
                <w:color w:val="auto"/>
                <w:lang w:val="en-US" w:eastAsia="zh-CN"/>
              </w:rPr>
              <w:t>氨氮和氮氧化物</w:t>
            </w:r>
            <w:r>
              <w:rPr>
                <w:rFonts w:hint="eastAsia"/>
                <w:color w:val="auto"/>
              </w:rPr>
              <w:t>进行污染物排放总量控制指标建议，建议</w:t>
            </w:r>
            <w:r>
              <w:rPr>
                <w:rFonts w:hint="eastAsia"/>
                <w:color w:val="auto"/>
                <w:lang w:eastAsia="zh-CN"/>
              </w:rPr>
              <w:t>如下：</w:t>
            </w:r>
          </w:p>
          <w:p>
            <w:pPr>
              <w:pStyle w:val="60"/>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 xml:space="preserve">1、废水： </w:t>
            </w:r>
          </w:p>
          <w:p>
            <w:pPr>
              <w:pStyle w:val="60"/>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 xml:space="preserve">本次新增总量控制指标COD28.89t/a、氨氮3.21t/a； </w:t>
            </w:r>
          </w:p>
          <w:p>
            <w:pPr>
              <w:pStyle w:val="60"/>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2、废气</w:t>
            </w:r>
          </w:p>
          <w:p>
            <w:pPr>
              <w:pStyle w:val="60"/>
              <w:bidi w:val="0"/>
              <w:ind w:left="0" w:leftChars="0" w:firstLine="480" w:firstLineChars="20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本项目氮氧化物排放量为0.267</w:t>
            </w:r>
            <w:r>
              <w:rPr>
                <w:rFonts w:hint="default" w:ascii="Times New Roman" w:hAnsi="Times New Roman" w:eastAsia="宋体" w:cs="Times New Roman"/>
                <w:color w:val="auto"/>
                <w:sz w:val="24"/>
                <w:szCs w:val="24"/>
                <w:lang w:val="en-US" w:eastAsia="zh-CN"/>
              </w:rPr>
              <w:t>t/a</w:t>
            </w:r>
            <w:r>
              <w:rPr>
                <w:rFonts w:hint="default" w:ascii="Times New Roman" w:hAnsi="Times New Roman" w:cs="Times New Roman"/>
                <w:color w:val="auto"/>
                <w:sz w:val="24"/>
                <w:szCs w:val="24"/>
                <w:lang w:val="en-US" w:eastAsia="zh-CN"/>
              </w:rPr>
              <w:t>，属于学校建设项目且产生的生活污水和锅炉废气属于生活源，因此无需购买总量。</w:t>
            </w:r>
          </w:p>
          <w:p>
            <w:pPr>
              <w:pStyle w:val="3"/>
              <w:ind w:left="0" w:leftChars="0" w:firstLine="0" w:firstLineChars="0"/>
              <w:rPr>
                <w:rFonts w:hint="default" w:eastAsia="黑体"/>
                <w:color w:val="auto"/>
                <w:lang w:val="en-US" w:eastAsia="zh-CN"/>
              </w:rPr>
            </w:pPr>
          </w:p>
        </w:tc>
      </w:tr>
    </w:tbl>
    <w:p>
      <w:pPr>
        <w:pStyle w:val="17"/>
        <w:keepNext/>
        <w:keepLines/>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ascii="黑体" w:hAnsi="黑体" w:eastAsia="黑体"/>
          <w:snapToGrid w:val="0"/>
          <w:color w:val="auto"/>
          <w:sz w:val="30"/>
          <w:szCs w:val="30"/>
        </w:rPr>
      </w:pPr>
      <w:r>
        <w:rPr>
          <w:rFonts w:ascii="黑体" w:hAnsi="黑体" w:eastAsia="黑体"/>
          <w:snapToGrid w:val="0"/>
          <w:color w:val="auto"/>
          <w:sz w:val="36"/>
          <w:szCs w:val="36"/>
        </w:rPr>
        <w:br w:type="page"/>
      </w:r>
      <w:r>
        <w:rPr>
          <w:rFonts w:hint="eastAsia" w:ascii="黑体" w:hAnsi="黑体" w:eastAsia="黑体"/>
          <w:snapToGrid w:val="0"/>
          <w:color w:val="auto"/>
          <w:sz w:val="30"/>
          <w:szCs w:val="30"/>
        </w:rPr>
        <w:t>四、主要环境影响和保护措施</w:t>
      </w:r>
    </w:p>
    <w:tbl>
      <w:tblPr>
        <w:tblStyle w:val="21"/>
        <w:tblW w:w="89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6"/>
        <w:gridCol w:w="81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6" w:type="dxa"/>
            <w:noWrap w:val="0"/>
            <w:tcMar>
              <w:left w:w="28" w:type="dxa"/>
              <w:right w:w="28" w:type="dxa"/>
            </w:tcMar>
            <w:vAlign w:val="center"/>
          </w:tcPr>
          <w:p>
            <w:pPr>
              <w:pStyle w:val="17"/>
              <w:keepNext/>
              <w:keepLines/>
              <w:pageBreakBefore w:val="0"/>
              <w:bidi w:val="0"/>
              <w:adjustRightInd w:val="0"/>
              <w:snapToGrid w:val="0"/>
              <w:spacing w:before="0" w:beforeAutospacing="0" w:after="0" w:afterAutospacing="0"/>
              <w:jc w:val="center"/>
              <w:rPr>
                <w:rFonts w:hint="eastAsia" w:cs="宋体"/>
                <w:color w:val="auto"/>
                <w:kern w:val="2"/>
                <w:sz w:val="21"/>
                <w:szCs w:val="21"/>
              </w:rPr>
            </w:pPr>
            <w:r>
              <w:rPr>
                <w:rFonts w:hint="eastAsia" w:cs="宋体"/>
                <w:color w:val="auto"/>
                <w:kern w:val="2"/>
                <w:sz w:val="21"/>
                <w:szCs w:val="21"/>
              </w:rPr>
              <w:t>施工</w:t>
            </w:r>
          </w:p>
          <w:p>
            <w:pPr>
              <w:pStyle w:val="17"/>
              <w:keepNext/>
              <w:keepLines/>
              <w:pageBreakBefore w:val="0"/>
              <w:bidi w:val="0"/>
              <w:adjustRightInd w:val="0"/>
              <w:snapToGrid w:val="0"/>
              <w:spacing w:before="0" w:beforeAutospacing="0" w:after="0" w:afterAutospacing="0"/>
              <w:jc w:val="center"/>
              <w:rPr>
                <w:rFonts w:hint="eastAsia" w:cs="宋体"/>
                <w:color w:val="auto"/>
                <w:kern w:val="2"/>
                <w:sz w:val="21"/>
                <w:szCs w:val="21"/>
              </w:rPr>
            </w:pPr>
            <w:r>
              <w:rPr>
                <w:rFonts w:hint="eastAsia" w:cs="宋体"/>
                <w:color w:val="auto"/>
                <w:kern w:val="2"/>
                <w:sz w:val="21"/>
                <w:szCs w:val="21"/>
              </w:rPr>
              <w:t>期环</w:t>
            </w:r>
          </w:p>
          <w:p>
            <w:pPr>
              <w:pStyle w:val="17"/>
              <w:keepNext/>
              <w:keepLines/>
              <w:pageBreakBefore w:val="0"/>
              <w:bidi w:val="0"/>
              <w:adjustRightInd w:val="0"/>
              <w:snapToGrid w:val="0"/>
              <w:spacing w:before="0" w:beforeAutospacing="0" w:after="0" w:afterAutospacing="0"/>
              <w:jc w:val="center"/>
              <w:rPr>
                <w:rFonts w:hint="eastAsia" w:cs="宋体"/>
                <w:color w:val="auto"/>
                <w:kern w:val="2"/>
                <w:sz w:val="21"/>
                <w:szCs w:val="21"/>
              </w:rPr>
            </w:pPr>
            <w:r>
              <w:rPr>
                <w:rFonts w:hint="eastAsia" w:cs="宋体"/>
                <w:color w:val="auto"/>
                <w:kern w:val="2"/>
                <w:sz w:val="21"/>
                <w:szCs w:val="21"/>
              </w:rPr>
              <w:t>境保</w:t>
            </w:r>
          </w:p>
          <w:p>
            <w:pPr>
              <w:pStyle w:val="17"/>
              <w:keepNext/>
              <w:keepLines/>
              <w:pageBreakBefore w:val="0"/>
              <w:bidi w:val="0"/>
              <w:adjustRightInd w:val="0"/>
              <w:snapToGrid w:val="0"/>
              <w:spacing w:before="0" w:beforeAutospacing="0" w:after="0" w:afterAutospacing="0"/>
              <w:jc w:val="center"/>
              <w:rPr>
                <w:rFonts w:hint="eastAsia" w:cs="宋体"/>
                <w:color w:val="auto"/>
                <w:kern w:val="2"/>
                <w:sz w:val="21"/>
                <w:szCs w:val="21"/>
              </w:rPr>
            </w:pPr>
            <w:r>
              <w:rPr>
                <w:rFonts w:hint="eastAsia" w:cs="宋体"/>
                <w:color w:val="auto"/>
                <w:kern w:val="2"/>
                <w:sz w:val="21"/>
                <w:szCs w:val="21"/>
              </w:rPr>
              <w:t>护措</w:t>
            </w:r>
          </w:p>
          <w:p>
            <w:pPr>
              <w:pStyle w:val="17"/>
              <w:keepNext/>
              <w:keepLines/>
              <w:pageBreakBefore w:val="0"/>
              <w:bidi w:val="0"/>
              <w:adjustRightInd w:val="0"/>
              <w:snapToGrid w:val="0"/>
              <w:spacing w:before="0" w:beforeAutospacing="0" w:after="0" w:afterAutospacing="0"/>
              <w:jc w:val="center"/>
              <w:rPr>
                <w:rFonts w:hint="eastAsia" w:cs="宋体"/>
                <w:bCs/>
                <w:color w:val="auto"/>
                <w:kern w:val="2"/>
                <w:sz w:val="21"/>
                <w:szCs w:val="21"/>
              </w:rPr>
            </w:pPr>
            <w:r>
              <w:rPr>
                <w:rFonts w:hint="eastAsia" w:cs="宋体"/>
                <w:color w:val="auto"/>
                <w:kern w:val="2"/>
                <w:sz w:val="21"/>
                <w:szCs w:val="21"/>
              </w:rPr>
              <w:t>施</w:t>
            </w:r>
          </w:p>
        </w:tc>
        <w:tc>
          <w:tcPr>
            <w:tcW w:w="8165" w:type="dxa"/>
            <w:noWrap w:val="0"/>
            <w:vAlign w:val="center"/>
          </w:tcPr>
          <w:p>
            <w:pPr>
              <w:keepNext/>
              <w:keepLines/>
              <w:pageBreakBefore w:val="0"/>
              <w:bidi w:val="0"/>
              <w:spacing w:line="360" w:lineRule="auto"/>
              <w:ind w:right="884" w:rightChars="421"/>
              <w:rPr>
                <w:b/>
                <w:bCs/>
                <w:color w:val="auto"/>
                <w:sz w:val="24"/>
                <w:szCs w:val="24"/>
              </w:rPr>
            </w:pPr>
            <w:r>
              <w:rPr>
                <w:rFonts w:hint="eastAsia"/>
                <w:b/>
                <w:bCs/>
                <w:color w:val="auto"/>
                <w:sz w:val="24"/>
                <w:szCs w:val="24"/>
              </w:rPr>
              <w:t>一、施工</w:t>
            </w:r>
            <w:r>
              <w:rPr>
                <w:b/>
                <w:bCs/>
                <w:color w:val="auto"/>
                <w:sz w:val="24"/>
                <w:szCs w:val="24"/>
              </w:rPr>
              <w:t>期环境</w:t>
            </w:r>
            <w:r>
              <w:rPr>
                <w:rFonts w:hint="eastAsia"/>
                <w:b/>
                <w:bCs/>
                <w:color w:val="auto"/>
                <w:sz w:val="24"/>
                <w:szCs w:val="24"/>
                <w:lang w:eastAsia="zh-CN"/>
              </w:rPr>
              <w:t>保护</w:t>
            </w:r>
            <w:r>
              <w:rPr>
                <w:rFonts w:hint="eastAsia"/>
                <w:b/>
                <w:bCs/>
                <w:color w:val="auto"/>
                <w:sz w:val="24"/>
                <w:szCs w:val="24"/>
              </w:rPr>
              <w:t>措施</w:t>
            </w:r>
            <w:r>
              <w:rPr>
                <w:b/>
                <w:bCs/>
                <w:color w:val="auto"/>
                <w:sz w:val="24"/>
                <w:szCs w:val="24"/>
              </w:rPr>
              <w:t>：</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（一）</w:t>
            </w:r>
            <w:r>
              <w:rPr>
                <w:rFonts w:hint="eastAsia"/>
                <w:color w:val="auto"/>
                <w:sz w:val="24"/>
                <w:szCs w:val="24"/>
              </w:rPr>
              <w:t>施工</w:t>
            </w:r>
            <w:r>
              <w:rPr>
                <w:color w:val="auto"/>
                <w:sz w:val="24"/>
                <w:szCs w:val="24"/>
              </w:rPr>
              <w:t>期</w:t>
            </w:r>
            <w:r>
              <w:rPr>
                <w:rFonts w:hint="eastAsia"/>
                <w:color w:val="auto"/>
                <w:sz w:val="24"/>
                <w:szCs w:val="24"/>
                <w:lang w:eastAsia="zh-CN"/>
              </w:rPr>
              <w:t>大气</w:t>
            </w:r>
            <w:r>
              <w:rPr>
                <w:color w:val="auto"/>
                <w:sz w:val="24"/>
                <w:szCs w:val="24"/>
              </w:rPr>
              <w:t>环境</w:t>
            </w:r>
            <w:r>
              <w:rPr>
                <w:rFonts w:hint="eastAsia"/>
                <w:color w:val="auto"/>
                <w:sz w:val="24"/>
                <w:szCs w:val="24"/>
                <w:lang w:eastAsia="zh-CN"/>
              </w:rPr>
              <w:t>保护</w:t>
            </w:r>
            <w:r>
              <w:rPr>
                <w:rFonts w:hint="eastAsia"/>
                <w:color w:val="auto"/>
                <w:sz w:val="24"/>
                <w:szCs w:val="24"/>
              </w:rPr>
              <w:t>措施</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（1）施工扬尘防治措施</w:t>
            </w:r>
          </w:p>
          <w:p>
            <w:pPr>
              <w:pStyle w:val="60"/>
              <w:keepNext/>
              <w:keepLines/>
              <w:pageBreakBefore w:val="0"/>
              <w:bidi w:val="0"/>
              <w:rPr>
                <w:rFonts w:hint="eastAsia"/>
                <w:color w:val="auto"/>
                <w:lang w:val="en-US" w:eastAsia="zh-CN"/>
              </w:rPr>
            </w:pPr>
            <w:r>
              <w:rPr>
                <w:rFonts w:hint="eastAsia"/>
                <w:color w:val="auto"/>
                <w:lang w:val="en-US" w:eastAsia="zh-CN"/>
              </w:rPr>
              <w:t>本项目施工场地属于临时占地，大气污染源主要为施工区裸露在大风气象条件下形成的风蚀扬尘，另外还有建筑材料运输、卸载中的扬尘，土方运输车辆行驶产生的扬尘，临时物料堆场产生的风蚀扬尘以及施工机械及运输车辆燃油废气。</w:t>
            </w:r>
          </w:p>
          <w:p>
            <w:pPr>
              <w:pStyle w:val="60"/>
              <w:keepNext/>
              <w:keepLines/>
              <w:pageBreakBefore w:val="0"/>
              <w:bidi w:val="0"/>
              <w:rPr>
                <w:rFonts w:hint="eastAsia"/>
                <w:color w:val="auto"/>
                <w:lang w:val="en-US" w:eastAsia="zh-CN"/>
              </w:rPr>
            </w:pPr>
            <w:r>
              <w:rPr>
                <w:rFonts w:hint="eastAsia"/>
                <w:color w:val="auto"/>
                <w:lang w:val="en-US" w:eastAsia="zh-CN"/>
              </w:rPr>
              <w:t>根据海东市印发的《海东市大气污染防治问题整改方案》《海东市开展建筑施工工地大气污染防治专项整治工作实施方案》及海东市施工场所“八个 100%”要求等相关要求，本报告提出以下防治措施：</w:t>
            </w:r>
          </w:p>
          <w:p>
            <w:pPr>
              <w:pStyle w:val="60"/>
              <w:keepNext/>
              <w:keepLines/>
              <w:pageBreakBefore w:val="0"/>
              <w:bidi w:val="0"/>
              <w:rPr>
                <w:rFonts w:hint="eastAsia"/>
                <w:color w:val="auto"/>
                <w:lang w:val="en-US" w:eastAsia="zh-CN"/>
              </w:rPr>
            </w:pPr>
            <w:r>
              <w:rPr>
                <w:rFonts w:hint="eastAsia"/>
                <w:color w:val="auto"/>
                <w:lang w:val="en-US" w:eastAsia="zh-CN"/>
              </w:rPr>
              <w:t>①施工中的挖方和填方应采用湿法作业抑制扬尘，开挖土方应集中堆放，及时回填，以减少粉尘影响范围和时间；</w:t>
            </w:r>
          </w:p>
          <w:p>
            <w:pPr>
              <w:pStyle w:val="60"/>
              <w:keepNext/>
              <w:keepLines/>
              <w:pageBreakBefore w:val="0"/>
              <w:bidi w:val="0"/>
              <w:rPr>
                <w:rFonts w:hint="eastAsia"/>
                <w:color w:val="auto"/>
                <w:lang w:val="en-US" w:eastAsia="zh-CN"/>
              </w:rPr>
            </w:pPr>
            <w:r>
              <w:rPr>
                <w:rFonts w:hint="eastAsia"/>
                <w:color w:val="auto"/>
                <w:lang w:val="en-US" w:eastAsia="zh-CN"/>
              </w:rPr>
              <w:t>②加强运输车辆的管理，合理安排施工车辆行驶路线，尽量避开居民集中区，路经居民区集中区域应尽量减缓行驶车速；</w:t>
            </w:r>
          </w:p>
          <w:p>
            <w:pPr>
              <w:pStyle w:val="60"/>
              <w:keepNext/>
              <w:keepLines/>
              <w:pageBreakBefore w:val="0"/>
              <w:bidi w:val="0"/>
              <w:rPr>
                <w:rFonts w:hint="eastAsia"/>
                <w:color w:val="auto"/>
                <w:lang w:val="en-US" w:eastAsia="zh-CN"/>
              </w:rPr>
            </w:pPr>
            <w:r>
              <w:rPr>
                <w:rFonts w:hint="eastAsia"/>
                <w:color w:val="auto"/>
                <w:lang w:val="en-US" w:eastAsia="zh-CN"/>
              </w:rPr>
              <w:t>③施工作业应尽量避开大风天气，并配备洒水车，对施工场地和运输车辆行驶路面定期洒水，防止浮尘产生，如在大风日则加大洒水量及洒水次数；</w:t>
            </w:r>
          </w:p>
          <w:p>
            <w:pPr>
              <w:pStyle w:val="60"/>
              <w:keepNext/>
              <w:keepLines/>
              <w:pageBreakBefore w:val="0"/>
              <w:bidi w:val="0"/>
              <w:rPr>
                <w:rFonts w:hint="eastAsia"/>
                <w:color w:val="auto"/>
                <w:lang w:val="en-US" w:eastAsia="zh-CN"/>
              </w:rPr>
            </w:pPr>
            <w:r>
              <w:rPr>
                <w:rFonts w:hint="eastAsia"/>
                <w:color w:val="auto"/>
                <w:lang w:val="en-US" w:eastAsia="zh-CN"/>
              </w:rPr>
              <w:t>④施工单位应加强施工区的规划管理，建筑材料的堆场处应定点定位，并采取适当的围挡、遮盖防尘措施，在迎风面用苫布或其它材料遮挡，减少扬尘污染，建筑材料轻装轻卸，必要时采取喷淋压尘等措施。</w:t>
            </w:r>
          </w:p>
          <w:p>
            <w:pPr>
              <w:pStyle w:val="60"/>
              <w:keepNext/>
              <w:keepLines/>
              <w:pageBreakBefore w:val="0"/>
              <w:bidi w:val="0"/>
              <w:rPr>
                <w:rFonts w:hint="eastAsia"/>
                <w:color w:val="auto"/>
                <w:lang w:val="en-US" w:eastAsia="zh-CN"/>
              </w:rPr>
            </w:pPr>
            <w:r>
              <w:rPr>
                <w:rFonts w:hint="eastAsia"/>
                <w:color w:val="auto"/>
                <w:lang w:val="en-US" w:eastAsia="zh-CN"/>
              </w:rPr>
              <w:t>⑤施工区干道车辆实行限速行驶，土方在运输过程中应加盖封闭并适量装车，以防运输过程中撒落引起二次扬尘；运输车辆在离开施工区时冲洗轮胎，检查装车质量，防止扬尘污染；</w:t>
            </w:r>
          </w:p>
          <w:p>
            <w:pPr>
              <w:pStyle w:val="60"/>
              <w:keepNext/>
              <w:keepLines/>
              <w:pageBreakBefore w:val="0"/>
              <w:bidi w:val="0"/>
              <w:rPr>
                <w:rFonts w:hint="eastAsia"/>
                <w:color w:val="auto"/>
                <w:lang w:val="en-US" w:eastAsia="zh-CN"/>
              </w:rPr>
            </w:pPr>
            <w:r>
              <w:rPr>
                <w:rFonts w:hint="eastAsia"/>
                <w:color w:val="auto"/>
                <w:lang w:val="en-US" w:eastAsia="zh-CN"/>
              </w:rPr>
              <w:t>⑥晴天干燥季节对存土、铲土运输，要采取洒水措施，以保持表面湿润，减少扬尘产生量。</w:t>
            </w:r>
          </w:p>
          <w:p>
            <w:pPr>
              <w:pStyle w:val="60"/>
              <w:keepNext/>
              <w:keepLines/>
              <w:pageBreakBefore w:val="0"/>
              <w:bidi w:val="0"/>
              <w:rPr>
                <w:rFonts w:hint="eastAsia"/>
                <w:color w:val="auto"/>
                <w:lang w:val="en-US" w:eastAsia="zh-CN"/>
              </w:rPr>
            </w:pPr>
            <w:r>
              <w:rPr>
                <w:rFonts w:hint="eastAsia"/>
                <w:color w:val="auto"/>
                <w:lang w:val="en-US" w:eastAsia="zh-CN"/>
              </w:rPr>
              <w:t>⑦在施工场地两侧、物料堆场四周设置挡风墙（网），减少可能的起尘量。</w:t>
            </w:r>
          </w:p>
          <w:p>
            <w:pPr>
              <w:pStyle w:val="60"/>
              <w:keepNext/>
              <w:keepLines/>
              <w:pageBreakBefore w:val="0"/>
              <w:bidi w:val="0"/>
              <w:rPr>
                <w:rFonts w:hint="eastAsia"/>
                <w:color w:val="auto"/>
                <w:lang w:val="en-US" w:eastAsia="zh-CN"/>
              </w:rPr>
            </w:pPr>
            <w:r>
              <w:rPr>
                <w:rFonts w:hint="eastAsia"/>
                <w:color w:val="auto"/>
                <w:lang w:val="en-US" w:eastAsia="zh-CN"/>
              </w:rPr>
              <w:t>⑧原材料运输过程中必须压实，填装高度禁止超过车斗防护栏，避免洒落引起二次扬尘。</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（2）装修工程废气环保措施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本项目进入室内外装修工程阶段后，对构筑物室内外进行装修时（如表面粉刷、油漆、喷涂等），涂料的挥发将会对项目所在地的大气环境产生一定的影响。涂料中主要挥发物质为有机物，为间断性无组织排放，为防止涂料对周边环境的影响，施工单位须使用环保型涂料，尽可能避免其对人体及环境产生不利影响。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（3）燃油废气环保措施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施工期还会产生燃油废气，其特点是排放量小，且属间断性无组织排放，加之施工场地开阔，扩散条件良好，因此不加处理也可达到相应的排放标准。在施工期内应多加注意施工设备的维护，提高设备原料的利用率，尽量减少燃油废气的排放。</w:t>
            </w:r>
          </w:p>
          <w:p>
            <w:pPr>
              <w:keepNext/>
              <w:keepLines/>
              <w:pageBreakBefore w:val="0"/>
              <w:bidi w:val="0"/>
              <w:spacing w:line="360" w:lineRule="auto"/>
              <w:ind w:firstLine="482"/>
              <w:rPr>
                <w:color w:val="auto"/>
                <w:sz w:val="24"/>
                <w:szCs w:val="24"/>
              </w:rPr>
            </w:pPr>
            <w:r>
              <w:rPr>
                <w:rFonts w:hint="eastAsia"/>
                <w:color w:val="auto"/>
                <w:sz w:val="24"/>
                <w:szCs w:val="24"/>
                <w:lang w:val="en-US" w:eastAsia="zh-CN"/>
              </w:rPr>
              <w:t>二、</w:t>
            </w:r>
            <w:r>
              <w:rPr>
                <w:rFonts w:hint="eastAsia"/>
                <w:color w:val="auto"/>
                <w:sz w:val="24"/>
                <w:szCs w:val="24"/>
              </w:rPr>
              <w:t>施工</w:t>
            </w:r>
            <w:r>
              <w:rPr>
                <w:color w:val="auto"/>
                <w:sz w:val="24"/>
                <w:szCs w:val="24"/>
              </w:rPr>
              <w:t>期</w:t>
            </w:r>
            <w:r>
              <w:rPr>
                <w:rFonts w:hint="eastAsia"/>
                <w:color w:val="auto"/>
                <w:sz w:val="24"/>
                <w:szCs w:val="24"/>
                <w:lang w:eastAsia="zh-CN"/>
              </w:rPr>
              <w:t>水环境保护</w:t>
            </w:r>
            <w:r>
              <w:rPr>
                <w:rFonts w:hint="eastAsia"/>
                <w:color w:val="auto"/>
                <w:sz w:val="24"/>
                <w:szCs w:val="24"/>
              </w:rPr>
              <w:t>措施</w:t>
            </w:r>
          </w:p>
          <w:p>
            <w:pPr>
              <w:keepNext/>
              <w:keepLines/>
              <w:pageBreakBefore w:val="0"/>
              <w:bidi w:val="0"/>
              <w:spacing w:line="360" w:lineRule="auto"/>
              <w:ind w:firstLine="482"/>
              <w:rPr>
                <w:color w:val="auto"/>
                <w:sz w:val="24"/>
                <w:szCs w:val="24"/>
              </w:rPr>
            </w:pPr>
            <w:r>
              <w:rPr>
                <w:rFonts w:hint="eastAsia"/>
                <w:color w:val="auto"/>
                <w:sz w:val="24"/>
                <w:szCs w:val="24"/>
              </w:rPr>
              <w:t>（1）生活污水</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施工期工人平均约50人左右，按每人每天用水100L计，排水系数以80%计，日排放生活污水4m</w:t>
            </w:r>
            <w:r>
              <w:rPr>
                <w:rFonts w:hint="eastAsia"/>
                <w:color w:val="auto"/>
                <w:sz w:val="24"/>
                <w:szCs w:val="24"/>
                <w:vertAlign w:val="superscript"/>
                <w:lang w:val="en-US" w:eastAsia="zh-CN"/>
              </w:rPr>
              <w:t>3</w:t>
            </w:r>
            <w:r>
              <w:rPr>
                <w:rFonts w:hint="eastAsia"/>
                <w:color w:val="auto"/>
                <w:sz w:val="24"/>
                <w:szCs w:val="24"/>
                <w:lang w:val="en-US" w:eastAsia="zh-CN"/>
              </w:rPr>
              <w:t>。生活污水依托厂区附近现有公共卫生设施。</w:t>
            </w:r>
          </w:p>
          <w:p>
            <w:pPr>
              <w:keepNext/>
              <w:keepLines/>
              <w:pageBreakBefore w:val="0"/>
              <w:bidi w:val="0"/>
              <w:spacing w:line="360" w:lineRule="auto"/>
              <w:ind w:firstLine="482"/>
              <w:rPr>
                <w:color w:val="auto"/>
                <w:sz w:val="24"/>
                <w:szCs w:val="24"/>
              </w:rPr>
            </w:pPr>
            <w:r>
              <w:rPr>
                <w:rFonts w:hint="eastAsia"/>
                <w:color w:val="auto"/>
                <w:sz w:val="24"/>
                <w:szCs w:val="24"/>
              </w:rPr>
              <w:t>（2）施工废水</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施工废水主要来源于车辆冲洗，施工期预计每天产生施工废水5m</w:t>
            </w:r>
            <w:r>
              <w:rPr>
                <w:rFonts w:hint="eastAsia"/>
                <w:color w:val="auto"/>
                <w:sz w:val="24"/>
                <w:szCs w:val="24"/>
                <w:vertAlign w:val="superscript"/>
                <w:lang w:val="en-US" w:eastAsia="zh-CN"/>
              </w:rPr>
              <w:t>3</w:t>
            </w:r>
            <w:r>
              <w:rPr>
                <w:rFonts w:hint="eastAsia"/>
                <w:color w:val="auto"/>
                <w:sz w:val="24"/>
                <w:szCs w:val="24"/>
                <w:lang w:val="en-US" w:eastAsia="zh-CN"/>
              </w:rPr>
              <w:t>，主要以SS污染为主，浓度为400～1000mg/L，砂石料冲洗废水中悬浮物含量大，需设置沉淀池，废水排入沉淀池进行处理；机械和车辆冲洗废水经过沉淀处理，处理后的施工废水上清液回用冲洗施工车辆，不外排。</w:t>
            </w:r>
          </w:p>
          <w:p>
            <w:pPr>
              <w:keepNext/>
              <w:keepLines/>
              <w:pageBreakBefore w:val="0"/>
              <w:numPr>
                <w:ilvl w:val="0"/>
                <w:numId w:val="0"/>
              </w:numPr>
              <w:bidi w:val="0"/>
              <w:spacing w:line="360" w:lineRule="auto"/>
              <w:ind w:firstLine="480" w:firstLineChars="200"/>
              <w:rPr>
                <w:rFonts w:hint="eastAsia"/>
                <w:color w:val="auto"/>
                <w:sz w:val="24"/>
                <w:szCs w:val="24"/>
              </w:rPr>
            </w:pPr>
            <w:r>
              <w:rPr>
                <w:rFonts w:hint="eastAsia"/>
                <w:color w:val="auto"/>
                <w:sz w:val="24"/>
                <w:szCs w:val="24"/>
                <w:lang w:val="en-US" w:eastAsia="zh-CN"/>
              </w:rPr>
              <w:t>三、</w:t>
            </w:r>
            <w:r>
              <w:rPr>
                <w:rFonts w:hint="eastAsia"/>
                <w:color w:val="auto"/>
                <w:sz w:val="24"/>
                <w:szCs w:val="24"/>
              </w:rPr>
              <w:t>施工</w:t>
            </w:r>
            <w:r>
              <w:rPr>
                <w:color w:val="auto"/>
                <w:sz w:val="24"/>
                <w:szCs w:val="24"/>
              </w:rPr>
              <w:t>期</w:t>
            </w:r>
            <w:r>
              <w:rPr>
                <w:rFonts w:hint="eastAsia"/>
                <w:color w:val="auto"/>
                <w:sz w:val="24"/>
                <w:szCs w:val="24"/>
                <w:lang w:eastAsia="zh-CN"/>
              </w:rPr>
              <w:t>声环境保护</w:t>
            </w:r>
            <w:r>
              <w:rPr>
                <w:rFonts w:hint="eastAsia"/>
                <w:color w:val="auto"/>
                <w:sz w:val="24"/>
                <w:szCs w:val="24"/>
              </w:rPr>
              <w:t>措施</w:t>
            </w:r>
          </w:p>
          <w:p>
            <w:pPr>
              <w:keepNext/>
              <w:keepLines/>
              <w:pageBreakBefore w:val="0"/>
              <w:numPr>
                <w:ilvl w:val="0"/>
                <w:numId w:val="0"/>
              </w:numPr>
              <w:bidi w:val="0"/>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 xml:space="preserve">在建设项目施工期使用的施工机具，如起重机、推土机等，其噪声值在70～90dB之间；其余的如打桩机等噪声也较大，瞬时噪声在90～110dB。项目应严格按照要求进行施工，主要采取以下措施：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 xml:space="preserve">（1）选用低噪设备，并采取有效的隔声减振措施；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 xml:space="preserve">（2）合理布置施工总平面，将高噪声设备尽量远离项目周边环境敏感保护目标。合理布置施工交通及运输路线。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 xml:space="preserve">（3）合理安排作业时间，将打桩、倾倒卵石料等强噪声作业尽量安排在白天进行，杜绝夜间（22:00～6:00）施工噪声扰民；如果工艺要求必须连续作业的强噪声施工，应首先征得当地建委、城管等主管部门的同意，并及时向周边各住宅区居民公告，以免发生噪声扰民纠纷。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 xml:space="preserve">（4）严格进行施工人员管理，文明施工。装卸、搬运钢管、模板等严禁抛掷。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在采取上述措施的基础上，施工期场界噪声能达到《建筑施工场界噪声限值》（GB12523-2011）标准要求。</w:t>
            </w:r>
          </w:p>
          <w:p>
            <w:pPr>
              <w:keepNext/>
              <w:keepLines/>
              <w:pageBreakBefore w:val="0"/>
              <w:numPr>
                <w:ilvl w:val="0"/>
                <w:numId w:val="0"/>
              </w:numPr>
              <w:bidi w:val="0"/>
              <w:spacing w:line="360" w:lineRule="auto"/>
              <w:ind w:firstLine="480" w:firstLineChars="200"/>
              <w:rPr>
                <w:rFonts w:hint="eastAsia"/>
                <w:color w:val="auto"/>
                <w:sz w:val="24"/>
                <w:szCs w:val="24"/>
              </w:rPr>
            </w:pPr>
            <w:r>
              <w:rPr>
                <w:rFonts w:hint="eastAsia"/>
                <w:color w:val="auto"/>
                <w:sz w:val="24"/>
                <w:szCs w:val="24"/>
                <w:lang w:val="en-US" w:eastAsia="zh-CN"/>
              </w:rPr>
              <w:t>四、</w:t>
            </w:r>
            <w:r>
              <w:rPr>
                <w:rFonts w:hint="eastAsia"/>
                <w:color w:val="auto"/>
                <w:sz w:val="24"/>
                <w:szCs w:val="24"/>
              </w:rPr>
              <w:t>施工</w:t>
            </w:r>
            <w:r>
              <w:rPr>
                <w:color w:val="auto"/>
                <w:sz w:val="24"/>
                <w:szCs w:val="24"/>
              </w:rPr>
              <w:t>期</w:t>
            </w:r>
            <w:r>
              <w:rPr>
                <w:rFonts w:hint="eastAsia"/>
                <w:color w:val="auto"/>
                <w:sz w:val="24"/>
                <w:szCs w:val="24"/>
                <w:lang w:eastAsia="zh-CN"/>
              </w:rPr>
              <w:t>固体废物保护</w:t>
            </w:r>
            <w:r>
              <w:rPr>
                <w:rFonts w:hint="eastAsia"/>
                <w:color w:val="auto"/>
                <w:sz w:val="24"/>
                <w:szCs w:val="24"/>
              </w:rPr>
              <w:t>措施</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（1）施工弃土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建设项目在施工期土方工程挖方30000m</w:t>
            </w:r>
            <w:r>
              <w:rPr>
                <w:rFonts w:hint="eastAsia"/>
                <w:color w:val="auto"/>
                <w:sz w:val="24"/>
                <w:szCs w:val="24"/>
                <w:vertAlign w:val="superscript"/>
                <w:lang w:val="en-US" w:eastAsia="zh-CN"/>
              </w:rPr>
              <w:t>3</w:t>
            </w:r>
            <w:r>
              <w:rPr>
                <w:rFonts w:hint="eastAsia"/>
                <w:color w:val="auto"/>
                <w:sz w:val="24"/>
                <w:szCs w:val="24"/>
                <w:lang w:val="en-US" w:eastAsia="zh-CN"/>
              </w:rPr>
              <w:t>，填方55000m</w:t>
            </w:r>
            <w:r>
              <w:rPr>
                <w:rFonts w:hint="eastAsia"/>
                <w:color w:val="auto"/>
                <w:sz w:val="24"/>
                <w:szCs w:val="24"/>
                <w:vertAlign w:val="superscript"/>
                <w:lang w:val="en-US" w:eastAsia="zh-CN"/>
              </w:rPr>
              <w:t>3</w:t>
            </w:r>
            <w:r>
              <w:rPr>
                <w:rFonts w:hint="eastAsia"/>
                <w:color w:val="auto"/>
                <w:sz w:val="24"/>
                <w:szCs w:val="24"/>
                <w:lang w:val="en-US" w:eastAsia="zh-CN"/>
              </w:rPr>
              <w:t>，借方25000m</w:t>
            </w:r>
            <w:r>
              <w:rPr>
                <w:rFonts w:hint="eastAsia"/>
                <w:color w:val="auto"/>
                <w:sz w:val="24"/>
                <w:szCs w:val="24"/>
                <w:vertAlign w:val="superscript"/>
                <w:lang w:val="en-US" w:eastAsia="zh-CN"/>
              </w:rPr>
              <w:t>3</w:t>
            </w:r>
            <w:r>
              <w:rPr>
                <w:rFonts w:hint="eastAsia"/>
                <w:color w:val="auto"/>
                <w:sz w:val="24"/>
                <w:szCs w:val="24"/>
                <w:lang w:val="en-US" w:eastAsia="zh-CN"/>
              </w:rPr>
              <w:t xml:space="preserve">，借方从乐都区附近购买，无弃方产生。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（2）施工建筑垃圾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建筑垃圾来源于项目建设过程铁质弃料、木材弃料等。在施工现场应设置临时建筑废物堆放场并进行覆盖处理，根据同类工程调查统计资料，建筑垃圾的产生量约为1kg/m</w:t>
            </w:r>
            <w:r>
              <w:rPr>
                <w:rFonts w:hint="eastAsia"/>
                <w:color w:val="auto"/>
                <w:sz w:val="24"/>
                <w:szCs w:val="24"/>
                <w:vertAlign w:val="superscript"/>
                <w:lang w:val="en-US" w:eastAsia="zh-CN"/>
              </w:rPr>
              <w:t>2</w:t>
            </w:r>
            <w:r>
              <w:rPr>
                <w:rFonts w:hint="eastAsia"/>
                <w:color w:val="auto"/>
                <w:sz w:val="24"/>
                <w:szCs w:val="24"/>
                <w:lang w:val="en-US" w:eastAsia="zh-CN"/>
              </w:rPr>
              <w:t>，本项目建筑面积80664m</w:t>
            </w:r>
            <w:r>
              <w:rPr>
                <w:rFonts w:hint="eastAsia"/>
                <w:color w:val="auto"/>
                <w:sz w:val="24"/>
                <w:szCs w:val="24"/>
                <w:vertAlign w:val="superscript"/>
                <w:lang w:val="en-US" w:eastAsia="zh-CN"/>
              </w:rPr>
              <w:t>2</w:t>
            </w:r>
            <w:r>
              <w:rPr>
                <w:rFonts w:hint="eastAsia"/>
                <w:color w:val="auto"/>
                <w:sz w:val="24"/>
                <w:szCs w:val="24"/>
                <w:lang w:val="en-US" w:eastAsia="zh-CN"/>
              </w:rPr>
              <w:t xml:space="preserve">，则产生建筑垃圾80.66t。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建筑垃圾除部分用于回收，剩余部分堆放达一定量时应及时清运到指定的建筑垃圾场处理。 </w:t>
            </w:r>
          </w:p>
          <w:p>
            <w:pPr>
              <w:keepNext/>
              <w:keepLines/>
              <w:pageBreakBefore w:val="0"/>
              <w:bidi w:val="0"/>
              <w:spacing w:line="360" w:lineRule="auto"/>
              <w:ind w:firstLine="482"/>
              <w:rPr>
                <w:rFonts w:hint="eastAsia"/>
                <w:color w:val="auto"/>
                <w:sz w:val="24"/>
                <w:szCs w:val="24"/>
              </w:rPr>
            </w:pPr>
            <w:r>
              <w:rPr>
                <w:rFonts w:hint="eastAsia"/>
                <w:color w:val="auto"/>
                <w:sz w:val="24"/>
                <w:szCs w:val="24"/>
                <w:lang w:val="en-US" w:eastAsia="zh-CN"/>
              </w:rPr>
              <w:t xml:space="preserve">（3）施工人员生活垃圾 </w:t>
            </w:r>
          </w:p>
          <w:p>
            <w:pPr>
              <w:keepNext/>
              <w:keepLines/>
              <w:pageBreakBefore w:val="0"/>
              <w:bidi w:val="0"/>
              <w:spacing w:line="360" w:lineRule="auto"/>
              <w:ind w:firstLine="482"/>
              <w:rPr>
                <w:rFonts w:hint="eastAsia"/>
                <w:color w:val="auto"/>
                <w:sz w:val="24"/>
                <w:szCs w:val="24"/>
                <w:lang w:val="en-US" w:eastAsia="zh-CN"/>
              </w:rPr>
            </w:pPr>
            <w:r>
              <w:rPr>
                <w:rFonts w:hint="eastAsia"/>
                <w:color w:val="auto"/>
                <w:sz w:val="24"/>
                <w:szCs w:val="24"/>
                <w:lang w:val="en-US" w:eastAsia="zh-CN"/>
              </w:rPr>
              <w:t>施工人员每日产生的生活垃圾应经过袋装收集后，由环卫部门统一运送到垃圾处理场集中处理。施工期工人约50人左右，排放垃圾量按0.3kg/人·d计，施工期35个月，项目生活垃圾产生量约6.75t/a。生活垃圾设垃圾箱、桶收集后全部由环卫部门统一清理，做到日产日清。</w:t>
            </w:r>
          </w:p>
          <w:p>
            <w:pPr>
              <w:keepNext/>
              <w:keepLines/>
              <w:pageBreakBefore w:val="0"/>
              <w:bidi w:val="0"/>
              <w:spacing w:line="360" w:lineRule="auto"/>
              <w:ind w:firstLine="482"/>
              <w:rPr>
                <w:rFonts w:hint="eastAsia" w:ascii="宋体" w:hAnsi="宋体" w:eastAsia="宋体" w:cs="宋体"/>
                <w:b/>
                <w:bCs/>
                <w:color w:val="auto"/>
                <w:kern w:val="0"/>
                <w:sz w:val="24"/>
                <w:szCs w:val="24"/>
                <w:lang w:val="en-US" w:eastAsia="zh-CN" w:bidi="ar-SA"/>
              </w:rPr>
            </w:pPr>
            <w:r>
              <w:rPr>
                <w:rFonts w:hint="eastAsia"/>
                <w:color w:val="auto"/>
                <w:sz w:val="24"/>
                <w:szCs w:val="24"/>
                <w:lang w:val="en-US" w:eastAsia="zh-CN"/>
              </w:rPr>
              <w:t>（五）</w:t>
            </w:r>
            <w:r>
              <w:rPr>
                <w:rFonts w:hint="eastAsia" w:ascii="宋体" w:hAnsi="宋体" w:eastAsia="宋体" w:cs="宋体"/>
                <w:b w:val="0"/>
                <w:bCs w:val="0"/>
                <w:color w:val="auto"/>
                <w:kern w:val="0"/>
                <w:sz w:val="24"/>
                <w:szCs w:val="24"/>
                <w:lang w:val="en-US" w:eastAsia="zh-CN" w:bidi="ar-SA"/>
              </w:rPr>
              <w:t>生态</w:t>
            </w:r>
          </w:p>
          <w:p>
            <w:pPr>
              <w:pStyle w:val="60"/>
              <w:bidi w:val="0"/>
              <w:rPr>
                <w:color w:val="auto"/>
              </w:rPr>
            </w:pPr>
            <w:r>
              <w:rPr>
                <w:rFonts w:hint="default"/>
                <w:color w:val="auto"/>
                <w:sz w:val="24"/>
                <w:szCs w:val="24"/>
                <w:lang w:val="en-US" w:eastAsia="zh-CN"/>
              </w:rPr>
              <w:t>本项目为新建项目，</w:t>
            </w:r>
            <w:r>
              <w:rPr>
                <w:rFonts w:hint="eastAsia"/>
                <w:color w:val="auto"/>
                <w:sz w:val="24"/>
                <w:szCs w:val="24"/>
                <w:lang w:val="en-US" w:eastAsia="zh-CN"/>
              </w:rPr>
              <w:t>土地现状属性为教育设施用地，区域植被覆盖度较低，植被类型单一，主要为耐寒杂草类。</w:t>
            </w:r>
            <w:r>
              <w:rPr>
                <w:rFonts w:hint="default"/>
                <w:color w:val="auto"/>
                <w:sz w:val="24"/>
                <w:szCs w:val="24"/>
                <w:lang w:val="en-US" w:eastAsia="zh-CN"/>
              </w:rPr>
              <w:t>项目在建设过程中对当地生态的影响主要表现在项目建设期土建工程扰动和破坏地表，侵占土地、破坏植被、造成水土流失。由于建设项目施工周期</w:t>
            </w:r>
            <w:r>
              <w:rPr>
                <w:rFonts w:hint="eastAsia"/>
                <w:color w:val="auto"/>
                <w:sz w:val="24"/>
                <w:szCs w:val="24"/>
                <w:lang w:val="en-US" w:eastAsia="zh-CN"/>
              </w:rPr>
              <w:t>较</w:t>
            </w:r>
            <w:r>
              <w:rPr>
                <w:rFonts w:hint="default"/>
                <w:color w:val="auto"/>
                <w:sz w:val="24"/>
                <w:szCs w:val="24"/>
                <w:lang w:val="en-US" w:eastAsia="zh-CN"/>
              </w:rPr>
              <w:t>短，项目施工结束后立即进行硬化、绿化等地表恢复，使项目周围的生态得到改善，随着工程施工结束，施工期对生态的影响将会逐渐减弱，直至消除。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6" w:type="dxa"/>
            <w:noWrap w:val="0"/>
            <w:tcMar>
              <w:left w:w="28" w:type="dxa"/>
              <w:right w:w="28" w:type="dxa"/>
            </w:tcMar>
            <w:vAlign w:val="center"/>
          </w:tcPr>
          <w:p>
            <w:pPr>
              <w:keepNext/>
              <w:keepLines/>
              <w:pageBreakBefore w:val="0"/>
              <w:bidi w:val="0"/>
              <w:adjustRightInd w:val="0"/>
              <w:snapToGrid w:val="0"/>
              <w:jc w:val="center"/>
              <w:rPr>
                <w:rFonts w:hint="eastAsia" w:ascii="宋体" w:hAnsi="宋体" w:cs="宋体"/>
                <w:bCs/>
                <w:color w:val="auto"/>
                <w:szCs w:val="21"/>
              </w:rPr>
            </w:pPr>
            <w:r>
              <w:rPr>
                <w:rFonts w:hint="eastAsia" w:ascii="宋体" w:hAnsi="宋体" w:cs="宋体"/>
                <w:bCs/>
                <w:color w:val="auto"/>
                <w:szCs w:val="21"/>
              </w:rPr>
              <w:t>运营</w:t>
            </w:r>
          </w:p>
          <w:p>
            <w:pPr>
              <w:keepNext/>
              <w:keepLines/>
              <w:pageBreakBefore w:val="0"/>
              <w:bidi w:val="0"/>
              <w:adjustRightInd w:val="0"/>
              <w:snapToGrid w:val="0"/>
              <w:jc w:val="center"/>
              <w:rPr>
                <w:rFonts w:hint="eastAsia" w:ascii="宋体" w:hAnsi="宋体" w:cs="宋体"/>
                <w:bCs/>
                <w:color w:val="auto"/>
                <w:szCs w:val="21"/>
              </w:rPr>
            </w:pPr>
            <w:r>
              <w:rPr>
                <w:rFonts w:hint="eastAsia" w:ascii="宋体" w:hAnsi="宋体" w:cs="宋体"/>
                <w:bCs/>
                <w:color w:val="auto"/>
                <w:szCs w:val="21"/>
              </w:rPr>
              <w:t>期环</w:t>
            </w:r>
          </w:p>
          <w:p>
            <w:pPr>
              <w:keepNext/>
              <w:keepLines/>
              <w:pageBreakBefore w:val="0"/>
              <w:bidi w:val="0"/>
              <w:adjustRightInd w:val="0"/>
              <w:snapToGrid w:val="0"/>
              <w:jc w:val="center"/>
              <w:rPr>
                <w:rFonts w:hint="eastAsia" w:ascii="宋体" w:hAnsi="宋体" w:cs="宋体"/>
                <w:bCs/>
                <w:color w:val="auto"/>
                <w:szCs w:val="21"/>
              </w:rPr>
            </w:pPr>
            <w:r>
              <w:rPr>
                <w:rFonts w:hint="eastAsia" w:ascii="宋体" w:hAnsi="宋体" w:cs="宋体"/>
                <w:bCs/>
                <w:color w:val="auto"/>
                <w:szCs w:val="21"/>
              </w:rPr>
              <w:t>境影</w:t>
            </w:r>
          </w:p>
          <w:p>
            <w:pPr>
              <w:keepNext/>
              <w:keepLines/>
              <w:pageBreakBefore w:val="0"/>
              <w:bidi w:val="0"/>
              <w:adjustRightInd w:val="0"/>
              <w:snapToGrid w:val="0"/>
              <w:jc w:val="center"/>
              <w:rPr>
                <w:rFonts w:hint="eastAsia" w:ascii="宋体" w:hAnsi="宋体" w:cs="宋体"/>
                <w:bCs/>
                <w:color w:val="auto"/>
                <w:szCs w:val="21"/>
              </w:rPr>
            </w:pPr>
            <w:r>
              <w:rPr>
                <w:rFonts w:hint="eastAsia" w:ascii="宋体" w:hAnsi="宋体" w:cs="宋体"/>
                <w:bCs/>
                <w:color w:val="auto"/>
                <w:szCs w:val="21"/>
              </w:rPr>
              <w:t>响和</w:t>
            </w:r>
          </w:p>
          <w:p>
            <w:pPr>
              <w:keepNext/>
              <w:keepLines/>
              <w:pageBreakBefore w:val="0"/>
              <w:bidi w:val="0"/>
              <w:adjustRightInd w:val="0"/>
              <w:snapToGrid w:val="0"/>
              <w:jc w:val="center"/>
              <w:rPr>
                <w:rFonts w:hint="eastAsia" w:ascii="宋体" w:hAnsi="宋体" w:cs="宋体"/>
                <w:bCs/>
                <w:color w:val="auto"/>
                <w:szCs w:val="21"/>
              </w:rPr>
            </w:pPr>
            <w:r>
              <w:rPr>
                <w:rFonts w:hint="eastAsia" w:ascii="宋体" w:hAnsi="宋体" w:cs="宋体"/>
                <w:bCs/>
                <w:color w:val="auto"/>
                <w:szCs w:val="21"/>
              </w:rPr>
              <w:t>保护</w:t>
            </w:r>
          </w:p>
          <w:p>
            <w:pPr>
              <w:keepNext/>
              <w:keepLines/>
              <w:pageBreakBefore w:val="0"/>
              <w:bidi w:val="0"/>
              <w:adjustRightInd w:val="0"/>
              <w:snapToGrid w:val="0"/>
              <w:jc w:val="center"/>
              <w:rPr>
                <w:rFonts w:ascii="宋体" w:hAnsi="宋体" w:cs="宋体"/>
                <w:bCs/>
                <w:color w:val="auto"/>
                <w:szCs w:val="21"/>
              </w:rPr>
            </w:pPr>
            <w:r>
              <w:rPr>
                <w:rFonts w:hint="eastAsia" w:ascii="宋体" w:hAnsi="宋体" w:cs="宋体"/>
                <w:bCs/>
                <w:color w:val="auto"/>
                <w:szCs w:val="21"/>
              </w:rPr>
              <w:t>措施</w:t>
            </w:r>
          </w:p>
        </w:tc>
        <w:tc>
          <w:tcPr>
            <w:tcW w:w="8165" w:type="dxa"/>
            <w:noWrap w:val="0"/>
            <w:vAlign w:val="center"/>
          </w:tcPr>
          <w:p>
            <w:pPr>
              <w:keepNext/>
              <w:keepLines/>
              <w:pageBreakBefore w:val="0"/>
              <w:bidi w:val="0"/>
              <w:spacing w:line="360" w:lineRule="auto"/>
              <w:rPr>
                <w:rFonts w:hint="eastAsia" w:ascii="Times New Roman" w:hAnsi="Times New Roman" w:eastAsia="宋体" w:cs="Times New Roman"/>
                <w:b/>
                <w:bCs/>
                <w:color w:val="auto"/>
                <w:kern w:val="0"/>
                <w:sz w:val="24"/>
                <w:lang w:val="en-US" w:eastAsia="zh-CN"/>
              </w:rPr>
            </w:pPr>
            <w:r>
              <w:rPr>
                <w:rFonts w:hint="eastAsia" w:cs="Times New Roman"/>
                <w:b/>
                <w:bCs/>
                <w:color w:val="auto"/>
                <w:kern w:val="0"/>
                <w:sz w:val="24"/>
                <w:lang w:val="en-US" w:eastAsia="zh-CN"/>
              </w:rPr>
              <w:t>一、</w:t>
            </w:r>
            <w:r>
              <w:rPr>
                <w:rFonts w:hint="eastAsia" w:ascii="Times New Roman" w:hAnsi="Times New Roman" w:eastAsia="宋体" w:cs="Times New Roman"/>
                <w:b/>
                <w:bCs/>
                <w:color w:val="auto"/>
                <w:kern w:val="0"/>
                <w:sz w:val="24"/>
                <w:lang w:val="en-US" w:eastAsia="zh-CN"/>
              </w:rPr>
              <w:t xml:space="preserve"> 大气环境影响和保护措施 </w:t>
            </w:r>
          </w:p>
          <w:p>
            <w:pPr>
              <w:keepNext/>
              <w:keepLines/>
              <w:pageBreakBefore w:val="0"/>
              <w:bidi w:val="0"/>
              <w:spacing w:line="360" w:lineRule="auto"/>
              <w:ind w:firstLine="482"/>
              <w:rPr>
                <w:rFonts w:hint="default" w:ascii="Times New Roman" w:hAnsi="Times New Roman" w:eastAsia="宋体" w:cs="Times New Roman"/>
                <w:color w:val="auto"/>
                <w:kern w:val="0"/>
                <w:sz w:val="24"/>
                <w:lang w:val="en-US" w:eastAsia="zh-CN"/>
              </w:rPr>
            </w:pPr>
            <w:r>
              <w:rPr>
                <w:rFonts w:hint="eastAsia" w:cs="Times New Roman"/>
                <w:color w:val="auto"/>
                <w:kern w:val="0"/>
                <w:sz w:val="24"/>
                <w:lang w:val="en-US" w:eastAsia="zh-CN"/>
              </w:rPr>
              <w:t>①实验废气</w:t>
            </w:r>
          </w:p>
          <w:p>
            <w:pPr>
              <w:keepNext/>
              <w:keepLines/>
              <w:pageBreakBefore w:val="0"/>
              <w:bidi w:val="0"/>
              <w:spacing w:line="360" w:lineRule="auto"/>
              <w:ind w:firstLine="482"/>
              <w:rPr>
                <w:rFonts w:hint="eastAsia"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学校设有化学实验室、物理实验室及生物实验室。根据本项目实验室布置和各实验室功能，实验室废气主要来自于化学实验室。化学实验室在实验过程中使用的药品大多为常规化学药品，以酸</w:t>
            </w:r>
            <w:r>
              <w:rPr>
                <w:rFonts w:hint="eastAsia" w:cs="Times New Roman"/>
                <w:color w:val="auto"/>
                <w:kern w:val="0"/>
                <w:sz w:val="24"/>
                <w:lang w:val="en-US" w:eastAsia="zh-CN"/>
              </w:rPr>
              <w:t>、</w:t>
            </w:r>
            <w:r>
              <w:rPr>
                <w:rFonts w:hint="eastAsia" w:ascii="Times New Roman" w:hAnsi="Times New Roman" w:eastAsia="宋体" w:cs="Times New Roman"/>
                <w:color w:val="auto"/>
                <w:kern w:val="0"/>
                <w:sz w:val="24"/>
                <w:lang w:val="en-US" w:eastAsia="zh-CN"/>
              </w:rPr>
              <w:t>碱</w:t>
            </w:r>
            <w:r>
              <w:rPr>
                <w:rFonts w:hint="eastAsia" w:cs="Times New Roman"/>
                <w:color w:val="auto"/>
                <w:kern w:val="0"/>
                <w:sz w:val="24"/>
                <w:lang w:val="en-US" w:eastAsia="zh-CN"/>
              </w:rPr>
              <w:t>、</w:t>
            </w:r>
            <w:r>
              <w:rPr>
                <w:rFonts w:hint="eastAsia" w:ascii="Times New Roman" w:hAnsi="Times New Roman" w:eastAsia="宋体" w:cs="Times New Roman"/>
                <w:color w:val="auto"/>
                <w:kern w:val="0"/>
                <w:sz w:val="24"/>
                <w:lang w:val="en-US" w:eastAsia="zh-CN"/>
              </w:rPr>
              <w:t>盐</w:t>
            </w:r>
            <w:r>
              <w:rPr>
                <w:rFonts w:hint="eastAsia" w:cs="Times New Roman"/>
                <w:color w:val="auto"/>
                <w:kern w:val="0"/>
                <w:sz w:val="24"/>
                <w:lang w:val="en-US" w:eastAsia="zh-CN"/>
              </w:rPr>
              <w:t>以及有机试剂</w:t>
            </w:r>
            <w:r>
              <w:rPr>
                <w:rFonts w:hint="eastAsia" w:ascii="Times New Roman" w:hAnsi="Times New Roman" w:eastAsia="宋体" w:cs="Times New Roman"/>
                <w:color w:val="auto"/>
                <w:kern w:val="0"/>
                <w:sz w:val="24"/>
                <w:lang w:val="en-US" w:eastAsia="zh-CN"/>
              </w:rPr>
              <w:t>为主，</w:t>
            </w:r>
            <w:r>
              <w:rPr>
                <w:rFonts w:hint="eastAsia" w:cs="Times New Roman"/>
                <w:color w:val="auto"/>
                <w:kern w:val="0"/>
                <w:sz w:val="24"/>
                <w:lang w:val="en-US" w:eastAsia="zh-CN"/>
              </w:rPr>
              <w:t>少量的有机试剂</w:t>
            </w:r>
            <w:r>
              <w:rPr>
                <w:rFonts w:hint="eastAsia" w:ascii="Times New Roman" w:hAnsi="Times New Roman" w:eastAsia="宋体" w:cs="Times New Roman"/>
                <w:color w:val="auto"/>
                <w:kern w:val="0"/>
                <w:sz w:val="24"/>
                <w:lang w:val="en-US" w:eastAsia="zh-CN"/>
              </w:rPr>
              <w:t>，实验室废气产生量不大，主要</w:t>
            </w:r>
            <w:r>
              <w:rPr>
                <w:rFonts w:hint="eastAsia" w:cs="Times New Roman"/>
                <w:color w:val="auto"/>
                <w:kern w:val="0"/>
                <w:sz w:val="24"/>
                <w:lang w:val="en-US" w:eastAsia="zh-CN"/>
              </w:rPr>
              <w:t>挥发性物质为乙酸（有机酸）、乙醛、苯等有机物，因此本项目实验废气中的主要污染物为非甲烷总烃</w:t>
            </w:r>
            <w:r>
              <w:rPr>
                <w:rFonts w:hint="eastAsia" w:ascii="Times New Roman" w:hAnsi="Times New Roman" w:eastAsia="宋体" w:cs="Times New Roman"/>
                <w:color w:val="auto"/>
                <w:kern w:val="0"/>
                <w:sz w:val="24"/>
                <w:lang w:val="en-US" w:eastAsia="zh-CN"/>
              </w:rPr>
              <w:t xml:space="preserve">。本项目化学实验课课程时长约为 </w:t>
            </w:r>
            <w:r>
              <w:rPr>
                <w:rFonts w:hint="eastAsia" w:cs="Times New Roman"/>
                <w:color w:val="auto"/>
                <w:kern w:val="0"/>
                <w:sz w:val="24"/>
                <w:lang w:val="en-US" w:eastAsia="zh-CN"/>
              </w:rPr>
              <w:t>293</w:t>
            </w:r>
            <w:r>
              <w:rPr>
                <w:rFonts w:hint="eastAsia" w:ascii="Times New Roman" w:hAnsi="Times New Roman" w:eastAsia="宋体" w:cs="Times New Roman"/>
                <w:color w:val="auto"/>
                <w:kern w:val="0"/>
                <w:sz w:val="24"/>
                <w:lang w:val="en-US" w:eastAsia="zh-CN"/>
              </w:rPr>
              <w:t>h，本项目实验课程多为实验教学，实验试剂使用量少，实验时间较短（约占实验课程时长的 30%~50%）</w:t>
            </w:r>
            <w:r>
              <w:rPr>
                <w:rFonts w:hint="eastAsia" w:cs="Times New Roman"/>
                <w:color w:val="auto"/>
                <w:kern w:val="0"/>
                <w:sz w:val="24"/>
                <w:lang w:val="en-US" w:eastAsia="zh-CN"/>
              </w:rPr>
              <w:t>，</w:t>
            </w:r>
            <w:r>
              <w:rPr>
                <w:rFonts w:hint="eastAsia"/>
                <w:color w:val="auto"/>
                <w:kern w:val="0"/>
                <w:sz w:val="24"/>
                <w:highlight w:val="none"/>
                <w:lang w:val="en-US" w:eastAsia="zh-CN" w:bidi="ar"/>
              </w:rPr>
              <w:t>本次易挥发</w:t>
            </w:r>
            <w:r>
              <w:rPr>
                <w:color w:val="auto"/>
                <w:kern w:val="0"/>
                <w:sz w:val="24"/>
                <w:highlight w:val="none"/>
                <w:lang w:bidi="ar"/>
              </w:rPr>
              <w:t>气体挥发量统一按照用量的 10%进行估算</w:t>
            </w:r>
            <w:r>
              <w:rPr>
                <w:rFonts w:hint="eastAsia" w:ascii="Times New Roman" w:hAnsi="Times New Roman" w:eastAsia="宋体" w:cs="Times New Roman"/>
                <w:color w:val="auto"/>
                <w:kern w:val="0"/>
                <w:sz w:val="24"/>
                <w:lang w:val="en-US" w:eastAsia="zh-CN"/>
              </w:rPr>
              <w:t>。</w:t>
            </w:r>
            <w:r>
              <w:rPr>
                <w:rFonts w:hint="eastAsia" w:cs="Times New Roman"/>
                <w:color w:val="auto"/>
                <w:kern w:val="0"/>
                <w:sz w:val="24"/>
                <w:lang w:val="en-US" w:eastAsia="zh-CN"/>
              </w:rPr>
              <w:t>污染物排放量如下表所示。</w:t>
            </w:r>
          </w:p>
          <w:p>
            <w:pPr>
              <w:pStyle w:val="20"/>
              <w:jc w:val="center"/>
              <w:rPr>
                <w:rFonts w:hint="default"/>
                <w:lang w:val="en-US" w:eastAsia="zh-CN"/>
              </w:rPr>
            </w:pPr>
            <w:r>
              <w:rPr>
                <w:rFonts w:hint="eastAsia" w:cs="Times New Roman"/>
                <w:b/>
                <w:bCs/>
                <w:color w:val="auto"/>
                <w:kern w:val="0"/>
                <w:sz w:val="24"/>
                <w:lang w:val="en-US" w:eastAsia="zh-CN"/>
              </w:rPr>
              <w:t>表4-1  实验室废气产生情况</w:t>
            </w:r>
          </w:p>
          <w:tbl>
            <w:tblPr>
              <w:tblStyle w:val="22"/>
              <w:tblW w:w="792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988"/>
              <w:gridCol w:w="1572"/>
              <w:gridCol w:w="1143"/>
              <w:gridCol w:w="1083"/>
              <w:gridCol w:w="1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物质</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单位</w:t>
                  </w:r>
                </w:p>
              </w:tc>
              <w:tc>
                <w:tcPr>
                  <w:tcW w:w="991" w:type="pct"/>
                  <w:tcBorders>
                    <w:tl2br w:val="nil"/>
                    <w:tr2bl w:val="nil"/>
                  </w:tcBorders>
                  <w:noWrap w:val="0"/>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年使用量（kg）</w:t>
                  </w:r>
                </w:p>
              </w:tc>
              <w:tc>
                <w:tcPr>
                  <w:tcW w:w="720" w:type="pct"/>
                  <w:tcBorders>
                    <w:tl2br w:val="nil"/>
                    <w:tr2bl w:val="nil"/>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auto"/>
                      <w:lang w:val="en-US" w:eastAsia="zh-CN"/>
                    </w:rPr>
                  </w:pPr>
                  <w:r>
                    <w:rPr>
                      <w:rFonts w:hint="eastAsia" w:cs="Times New Roman"/>
                      <w:color w:val="auto"/>
                      <w:lang w:val="en-US" w:eastAsia="zh-CN"/>
                    </w:rPr>
                    <w:t>挥发系数</w:t>
                  </w:r>
                </w:p>
              </w:tc>
              <w:tc>
                <w:tcPr>
                  <w:tcW w:w="683" w:type="pct"/>
                  <w:tcBorders>
                    <w:tl2br w:val="nil"/>
                    <w:tr2bl w:val="nil"/>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auto"/>
                      <w:lang w:val="en-US" w:eastAsia="zh-CN"/>
                    </w:rPr>
                  </w:pPr>
                  <w:r>
                    <w:rPr>
                      <w:rFonts w:hint="eastAsia" w:cs="Times New Roman"/>
                      <w:color w:val="auto"/>
                      <w:lang w:val="en-US" w:eastAsia="zh-CN"/>
                    </w:rPr>
                    <w:t>挥发量</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cs="Times New Roman"/>
                      <w:color w:val="auto"/>
                      <w:lang w:val="en-US" w:eastAsia="zh-CN"/>
                    </w:rPr>
                  </w:pPr>
                  <w:r>
                    <w:rPr>
                      <w:rFonts w:hint="eastAsia" w:cs="Times New Roman"/>
                      <w:color w:val="auto"/>
                      <w:lang w:val="en-US" w:eastAsia="zh-CN"/>
                    </w:rPr>
                    <w:t>排放速率（kg/h）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乙醛</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eastAsia="zh-CN"/>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eastAsia" w:cs="Times New Roman"/>
                      <w:i w:val="0"/>
                      <w:iCs w:val="0"/>
                      <w:color w:val="000000"/>
                      <w:kern w:val="0"/>
                      <w:sz w:val="22"/>
                      <w:szCs w:val="22"/>
                      <w:u w:val="none"/>
                      <w:lang w:val="en-US" w:eastAsia="zh-CN" w:bidi="ar"/>
                    </w:rPr>
                    <w:t>0.79</w:t>
                  </w:r>
                </w:p>
              </w:tc>
              <w:tc>
                <w:tcPr>
                  <w:tcW w:w="720" w:type="pct"/>
                  <w:vMerge w:val="restar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10%</w:t>
                  </w: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0.079</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苯</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eastAsia" w:cs="Times New Roman"/>
                      <w:i w:val="0"/>
                      <w:iCs w:val="0"/>
                      <w:color w:val="000000"/>
                      <w:kern w:val="0"/>
                      <w:sz w:val="22"/>
                      <w:szCs w:val="22"/>
                      <w:u w:val="none"/>
                      <w:lang w:val="en-US" w:eastAsia="zh-CN" w:bidi="ar"/>
                    </w:rPr>
                    <w:t>0.88</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0.088</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eastAsia" w:cs="Times New Roman"/>
                      <w:i w:val="0"/>
                      <w:iCs w:val="0"/>
                      <w:color w:val="000000"/>
                      <w:kern w:val="0"/>
                      <w:sz w:val="22"/>
                      <w:szCs w:val="22"/>
                      <w:u w:val="none"/>
                      <w:lang w:val="en-US" w:eastAsia="zh-CN" w:bidi="ar"/>
                    </w:rPr>
                    <w:t>无水乙醇</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eastAsia" w:cs="Times New Roman"/>
                      <w:i w:val="0"/>
                      <w:iCs w:val="0"/>
                      <w:color w:val="000000"/>
                      <w:kern w:val="0"/>
                      <w:sz w:val="22"/>
                      <w:szCs w:val="22"/>
                      <w:u w:val="none"/>
                      <w:lang w:val="en-US" w:eastAsia="zh-CN" w:bidi="ar"/>
                    </w:rPr>
                    <w:t>0.79</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0.079</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default" w:ascii="Times New Roman" w:hAnsi="Times New Roman" w:eastAsia="宋体" w:cs="Times New Roman"/>
                      <w:i w:val="0"/>
                      <w:iCs w:val="0"/>
                      <w:color w:val="000000"/>
                      <w:kern w:val="0"/>
                      <w:sz w:val="22"/>
                      <w:szCs w:val="22"/>
                      <w:u w:val="none"/>
                      <w:lang w:val="en-US" w:eastAsia="zh-CN" w:bidi="ar"/>
                    </w:rPr>
                    <w:t>乙酸乙酯</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0"/>
                      <w:szCs w:val="20"/>
                      <w:highlight w:val="none"/>
                      <w:vertAlign w:val="baseline"/>
                      <w:lang w:val="en-US"/>
                    </w:rPr>
                  </w:pPr>
                  <w:r>
                    <w:rPr>
                      <w:rFonts w:hint="eastAsia" w:cs="Times New Roman"/>
                      <w:i w:val="0"/>
                      <w:iCs w:val="0"/>
                      <w:color w:val="000000"/>
                      <w:kern w:val="0"/>
                      <w:sz w:val="22"/>
                      <w:szCs w:val="22"/>
                      <w:u w:val="none"/>
                      <w:lang w:val="en-US" w:eastAsia="zh-CN" w:bidi="ar"/>
                    </w:rPr>
                    <w:t>0.9</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0.09</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四氯化碳</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0.8</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0.08</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0.00027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乙酸%36</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0.5</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0.018</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2"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乙酸%100</w:t>
                  </w:r>
                </w:p>
              </w:tc>
              <w:tc>
                <w:tcPr>
                  <w:tcW w:w="62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b w:val="0"/>
                      <w:bCs/>
                      <w:color w:val="auto"/>
                      <w:sz w:val="20"/>
                      <w:szCs w:val="20"/>
                      <w:highlight w:val="none"/>
                      <w:vertAlign w:val="baseline"/>
                      <w:lang w:val="en-US" w:eastAsia="zh-CN"/>
                    </w:rPr>
                    <w:t>mL</w:t>
                  </w:r>
                </w:p>
              </w:tc>
              <w:tc>
                <w:tcPr>
                  <w:tcW w:w="991"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1</w:t>
                  </w:r>
                </w:p>
              </w:tc>
              <w:tc>
                <w:tcPr>
                  <w:tcW w:w="720" w:type="pct"/>
                  <w:vMerge w:val="continue"/>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rPr>
                  </w:pPr>
                </w:p>
              </w:tc>
              <w:tc>
                <w:tcPr>
                  <w:tcW w:w="683"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0.1</w:t>
                  </w:r>
                </w:p>
              </w:tc>
              <w:tc>
                <w:tcPr>
                  <w:tcW w:w="1059"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lang w:val="en-US" w:eastAsia="zh-CN"/>
                    </w:rPr>
                  </w:pPr>
                  <w:r>
                    <w:rPr>
                      <w:rFonts w:hint="eastAsia" w:cs="Times New Roman"/>
                      <w:color w:val="auto"/>
                      <w:lang w:val="en-US" w:eastAsia="zh-CN"/>
                    </w:rPr>
                    <w:t>0.00034</w:t>
                  </w:r>
                </w:p>
              </w:tc>
            </w:tr>
          </w:tbl>
          <w:p>
            <w:pPr>
              <w:keepNext/>
              <w:keepLines/>
              <w:pageBreakBefore w:val="0"/>
              <w:bidi w:val="0"/>
              <w:spacing w:line="360" w:lineRule="auto"/>
              <w:ind w:firstLine="480" w:firstLineChars="200"/>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针对中学化学实验课程次数少、试剂用量小和废气产生量小的特点，通过设置吊装通风系统，加强室内通风，废气中化学物质的浓度很低、排放量小，做好通风换气，注意防潮隔热，对周围环境影响不明显。</w:t>
            </w:r>
          </w:p>
          <w:p>
            <w:pPr>
              <w:keepNext/>
              <w:keepLines/>
              <w:pageBreakBefore w:val="0"/>
              <w:tabs>
                <w:tab w:val="left" w:pos="964"/>
              </w:tabs>
              <w:bidi w:val="0"/>
              <w:spacing w:line="360" w:lineRule="auto"/>
              <w:ind w:firstLine="482"/>
              <w:rPr>
                <w:rFonts w:hint="default" w:ascii="Times New Roman" w:hAnsi="Times New Roman" w:eastAsia="宋体" w:cs="Times New Roman"/>
                <w:b w:val="0"/>
                <w:bCs w:val="0"/>
                <w:color w:val="auto"/>
                <w:kern w:val="0"/>
                <w:sz w:val="24"/>
                <w:lang w:val="en-US" w:eastAsia="zh-CN"/>
              </w:rPr>
            </w:pPr>
            <w:r>
              <w:rPr>
                <w:rFonts w:hint="eastAsia" w:cs="Times New Roman"/>
                <w:b w:val="0"/>
                <w:bCs w:val="0"/>
                <w:color w:val="auto"/>
                <w:kern w:val="0"/>
                <w:sz w:val="24"/>
                <w:lang w:val="en-US" w:eastAsia="zh-CN"/>
              </w:rPr>
              <w:t>②锅炉废气</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项目设置4台天然气热水锅炉，</w:t>
            </w: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台</w:t>
            </w:r>
            <w:r>
              <w:rPr>
                <w:rFonts w:hint="eastAsia" w:cs="Times New Roman"/>
                <w:color w:val="auto"/>
                <w:sz w:val="24"/>
                <w:lang w:val="en-US" w:eastAsia="zh-CN" w:bidi="ar-SA"/>
              </w:rPr>
              <w:t>3.5</w:t>
            </w:r>
            <w:r>
              <w:rPr>
                <w:rFonts w:hint="eastAsia" w:ascii="Times New Roman" w:hAnsi="Times New Roman" w:eastAsia="宋体" w:cs="Times New Roman"/>
                <w:color w:val="auto"/>
                <w:sz w:val="24"/>
                <w:lang w:val="en-US" w:eastAsia="zh-CN" w:bidi="ar-SA"/>
              </w:rPr>
              <w:t>MW（即</w:t>
            </w:r>
            <w:r>
              <w:rPr>
                <w:rFonts w:hint="eastAsia" w:cs="Times New Roman"/>
                <w:color w:val="auto"/>
                <w:sz w:val="24"/>
                <w:lang w:val="en-US" w:eastAsia="zh-CN" w:bidi="ar-SA"/>
              </w:rPr>
              <w:t>5</w:t>
            </w:r>
            <w:r>
              <w:rPr>
                <w:rFonts w:hint="eastAsia" w:ascii="Times New Roman" w:hAnsi="Times New Roman" w:eastAsia="宋体" w:cs="Times New Roman"/>
                <w:color w:val="auto"/>
                <w:sz w:val="24"/>
                <w:lang w:val="en-US" w:eastAsia="zh-CN" w:bidi="ar-SA"/>
              </w:rPr>
              <w:t>吨</w:t>
            </w:r>
            <w:r>
              <w:rPr>
                <w:rFonts w:hint="eastAsia" w:cs="Times New Roman"/>
                <w:color w:val="auto"/>
                <w:sz w:val="24"/>
                <w:lang w:val="en-US" w:eastAsia="zh-CN" w:bidi="ar-SA"/>
              </w:rPr>
              <w:t>/台</w:t>
            </w:r>
            <w:r>
              <w:rPr>
                <w:rFonts w:hint="eastAsia" w:ascii="Times New Roman" w:hAnsi="Times New Roman" w:eastAsia="宋体" w:cs="Times New Roman"/>
                <w:color w:val="auto"/>
                <w:sz w:val="24"/>
                <w:lang w:val="en-US" w:eastAsia="zh-CN" w:bidi="ar-SA"/>
              </w:rPr>
              <w:t>）燃气热水炉供洗浴</w:t>
            </w: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台</w:t>
            </w:r>
            <w:r>
              <w:rPr>
                <w:rFonts w:hint="eastAsia" w:cs="Times New Roman"/>
                <w:color w:val="auto"/>
                <w:sz w:val="24"/>
                <w:lang w:val="en-US" w:eastAsia="zh-CN" w:bidi="ar-SA"/>
              </w:rPr>
              <w:t>5.6</w:t>
            </w:r>
            <w:r>
              <w:rPr>
                <w:rFonts w:hint="eastAsia" w:ascii="Times New Roman" w:hAnsi="Times New Roman" w:eastAsia="宋体" w:cs="Times New Roman"/>
                <w:color w:val="auto"/>
                <w:sz w:val="24"/>
                <w:lang w:val="en-US" w:eastAsia="zh-CN" w:bidi="ar-SA"/>
              </w:rPr>
              <w:t>MW（即</w:t>
            </w:r>
            <w:r>
              <w:rPr>
                <w:rFonts w:hint="eastAsia" w:cs="Times New Roman"/>
                <w:color w:val="auto"/>
                <w:sz w:val="24"/>
                <w:lang w:val="en-US" w:eastAsia="zh-CN" w:bidi="ar-SA"/>
              </w:rPr>
              <w:t>8</w:t>
            </w:r>
            <w:r>
              <w:rPr>
                <w:rFonts w:hint="eastAsia" w:ascii="Times New Roman" w:hAnsi="Times New Roman" w:eastAsia="宋体" w:cs="Times New Roman"/>
                <w:color w:val="auto"/>
                <w:sz w:val="24"/>
                <w:lang w:val="en-US" w:eastAsia="zh-CN" w:bidi="ar-SA"/>
              </w:rPr>
              <w:t>吨</w:t>
            </w:r>
            <w:r>
              <w:rPr>
                <w:rFonts w:hint="eastAsia" w:cs="Times New Roman"/>
                <w:color w:val="auto"/>
                <w:sz w:val="24"/>
                <w:lang w:val="en-US" w:eastAsia="zh-CN" w:bidi="ar-SA"/>
              </w:rPr>
              <w:t>/台</w:t>
            </w:r>
            <w:r>
              <w:rPr>
                <w:rFonts w:hint="eastAsia" w:ascii="Times New Roman" w:hAnsi="Times New Roman" w:eastAsia="宋体" w:cs="Times New Roman"/>
                <w:color w:val="auto"/>
                <w:sz w:val="24"/>
                <w:lang w:val="en-US" w:eastAsia="zh-CN" w:bidi="ar-SA"/>
              </w:rPr>
              <w:t>）燃气热水炉供采暖</w:t>
            </w:r>
            <w:r>
              <w:rPr>
                <w:rFonts w:hint="eastAsia" w:cs="Times New Roman"/>
                <w:color w:val="auto"/>
                <w:sz w:val="24"/>
                <w:lang w:val="en-US" w:eastAsia="zh-CN" w:bidi="ar-SA"/>
              </w:rPr>
              <w:t>。</w:t>
            </w:r>
            <w:r>
              <w:rPr>
                <w:rFonts w:hint="eastAsia" w:ascii="Times New Roman" w:hAnsi="Times New Roman" w:eastAsia="宋体" w:cs="Times New Roman"/>
                <w:color w:val="auto"/>
                <w:sz w:val="24"/>
                <w:lang w:val="en-US" w:eastAsia="zh-CN" w:bidi="ar-SA"/>
              </w:rPr>
              <w:t>实施后</w:t>
            </w: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台供暖锅炉</w:t>
            </w:r>
            <w:r>
              <w:rPr>
                <w:rFonts w:hint="eastAsia" w:cs="Times New Roman"/>
                <w:color w:val="auto"/>
                <w:sz w:val="24"/>
                <w:lang w:val="en-US" w:eastAsia="zh-CN" w:bidi="ar-SA"/>
              </w:rPr>
              <w:t>（1用1备）</w:t>
            </w:r>
            <w:r>
              <w:rPr>
                <w:rFonts w:hint="eastAsia" w:ascii="Times New Roman" w:hAnsi="Times New Roman" w:eastAsia="宋体" w:cs="Times New Roman"/>
                <w:color w:val="auto"/>
                <w:sz w:val="24"/>
                <w:lang w:val="en-US" w:eastAsia="zh-CN" w:bidi="ar-SA"/>
              </w:rPr>
              <w:t>年运行1</w:t>
            </w:r>
            <w:r>
              <w:rPr>
                <w:rFonts w:hint="eastAsia" w:cs="Times New Roman"/>
                <w:color w:val="auto"/>
                <w:sz w:val="24"/>
                <w:lang w:val="en-US" w:eastAsia="zh-CN" w:bidi="ar-SA"/>
              </w:rPr>
              <w:t>5</w:t>
            </w:r>
            <w:r>
              <w:rPr>
                <w:rFonts w:hint="eastAsia" w:ascii="Times New Roman" w:hAnsi="Times New Roman" w:eastAsia="宋体" w:cs="Times New Roman"/>
                <w:color w:val="auto"/>
                <w:sz w:val="24"/>
                <w:lang w:val="en-US" w:eastAsia="zh-CN" w:bidi="ar-SA"/>
              </w:rPr>
              <w:t>0d，</w:t>
            </w:r>
            <w:r>
              <w:rPr>
                <w:rFonts w:hint="eastAsia" w:cs="Times New Roman"/>
                <w:color w:val="auto"/>
                <w:sz w:val="24"/>
                <w:lang w:val="en-US" w:eastAsia="zh-CN" w:bidi="ar-SA"/>
              </w:rPr>
              <w:t>天然气消耗量约592.5</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w:t>
            </w:r>
            <w:r>
              <w:rPr>
                <w:rFonts w:hint="eastAsia" w:eastAsia="宋体" w:cs="Times New Roman"/>
                <w:color w:val="auto"/>
                <w:sz w:val="24"/>
                <w:lang w:val="en-US" w:eastAsia="zh-CN" w:bidi="ar-SA"/>
              </w:rPr>
              <w:t>（44.4万</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w:t>
            </w:r>
            <w:r>
              <w:rPr>
                <w:rFonts w:hint="eastAsia" w:eastAsia="宋体" w:cs="Times New Roman"/>
                <w:color w:val="auto"/>
                <w:sz w:val="24"/>
                <w:lang w:val="en-US" w:eastAsia="zh-CN" w:bidi="ar-SA"/>
              </w:rPr>
              <w:t>）</w:t>
            </w: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台供热水锅炉</w:t>
            </w:r>
            <w:r>
              <w:rPr>
                <w:rFonts w:hint="eastAsia" w:cs="Times New Roman"/>
                <w:color w:val="auto"/>
                <w:sz w:val="24"/>
                <w:lang w:val="en-US" w:eastAsia="zh-CN" w:bidi="ar-SA"/>
              </w:rPr>
              <w:t>（1用1备）</w:t>
            </w:r>
            <w:r>
              <w:rPr>
                <w:rFonts w:hint="eastAsia" w:ascii="Times New Roman" w:hAnsi="Times New Roman" w:eastAsia="宋体" w:cs="Times New Roman"/>
                <w:color w:val="auto"/>
                <w:sz w:val="24"/>
                <w:lang w:val="en-US" w:eastAsia="zh-CN" w:bidi="ar-SA"/>
              </w:rPr>
              <w:t>年运行25</w:t>
            </w:r>
            <w:r>
              <w:rPr>
                <w:rFonts w:hint="eastAsia" w:cs="Times New Roman"/>
                <w:color w:val="auto"/>
                <w:sz w:val="24"/>
                <w:lang w:val="en-US" w:eastAsia="zh-CN" w:bidi="ar-SA"/>
              </w:rPr>
              <w:t>7</w:t>
            </w:r>
            <w:r>
              <w:rPr>
                <w:rFonts w:hint="eastAsia" w:ascii="Times New Roman" w:hAnsi="Times New Roman" w:eastAsia="宋体" w:cs="Times New Roman"/>
                <w:color w:val="auto"/>
                <w:sz w:val="24"/>
                <w:lang w:val="en-US" w:eastAsia="zh-CN" w:bidi="ar-SA"/>
              </w:rPr>
              <w:t>d，</w:t>
            </w:r>
            <w:r>
              <w:rPr>
                <w:rFonts w:hint="eastAsia" w:cs="Times New Roman"/>
                <w:color w:val="auto"/>
                <w:sz w:val="24"/>
                <w:lang w:val="en-US" w:eastAsia="zh-CN" w:bidi="ar-SA"/>
              </w:rPr>
              <w:t>天然气消耗量约370.3</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w:t>
            </w:r>
            <w:r>
              <w:rPr>
                <w:rFonts w:hint="eastAsia" w:eastAsia="宋体" w:cs="Times New Roman"/>
                <w:color w:val="auto"/>
                <w:sz w:val="24"/>
                <w:lang w:val="en-US" w:eastAsia="zh-CN" w:bidi="ar-SA"/>
              </w:rPr>
              <w:t>（50.6万</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w:t>
            </w:r>
            <w:r>
              <w:rPr>
                <w:rFonts w:hint="eastAsia" w:eastAsia="宋体" w:cs="Times New Roman"/>
                <w:color w:val="auto"/>
                <w:sz w:val="24"/>
                <w:lang w:val="en-US" w:eastAsia="zh-CN" w:bidi="ar-SA"/>
              </w:rPr>
              <w:t>）</w:t>
            </w:r>
            <w:r>
              <w:rPr>
                <w:rFonts w:hint="eastAsia" w:cs="Times New Roman"/>
                <w:color w:val="auto"/>
                <w:sz w:val="24"/>
                <w:lang w:val="en-US" w:eastAsia="zh-CN" w:bidi="ar-SA"/>
              </w:rPr>
              <w:t>。锅炉</w:t>
            </w:r>
            <w:r>
              <w:rPr>
                <w:rFonts w:hint="eastAsia" w:ascii="Times New Roman" w:hAnsi="Times New Roman" w:eastAsia="宋体" w:cs="Times New Roman"/>
                <w:color w:val="auto"/>
                <w:sz w:val="24"/>
                <w:lang w:val="en-US" w:eastAsia="zh-CN" w:bidi="ar-SA"/>
              </w:rPr>
              <w:t>天然气共计消耗量为</w:t>
            </w:r>
            <w:r>
              <w:rPr>
                <w:rFonts w:hint="eastAsia" w:cs="Times New Roman"/>
                <w:color w:val="auto"/>
                <w:sz w:val="24"/>
                <w:lang w:val="en-US" w:eastAsia="zh-CN" w:bidi="ar-SA"/>
              </w:rPr>
              <w:t>95</w:t>
            </w:r>
            <w:r>
              <w:rPr>
                <w:rFonts w:hint="eastAsia" w:ascii="Times New Roman" w:hAnsi="Times New Roman" w:eastAsia="宋体" w:cs="Times New Roman"/>
                <w:color w:val="auto"/>
                <w:sz w:val="24"/>
                <w:lang w:val="en-US" w:eastAsia="zh-CN" w:bidi="ar-SA"/>
              </w:rPr>
              <w:t>万m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 xml:space="preserve"> /a。</w:t>
            </w:r>
          </w:p>
          <w:p>
            <w:pPr>
              <w:keepNext/>
              <w:keepLines/>
              <w:wordWrap w:val="0"/>
              <w:topLinePunct/>
              <w:spacing w:line="360" w:lineRule="auto"/>
              <w:ind w:firstLine="480" w:firstLineChars="200"/>
              <w:rPr>
                <w:rFonts w:hint="eastAsia"/>
                <w:sz w:val="24"/>
              </w:rPr>
            </w:pPr>
            <w:r>
              <w:rPr>
                <w:rFonts w:hint="eastAsia" w:ascii="Times New Roman" w:hAnsi="Times New Roman" w:eastAsia="宋体" w:cs="Times New Roman"/>
                <w:color w:val="auto"/>
                <w:sz w:val="24"/>
                <w:lang w:val="en-US" w:eastAsia="zh-CN" w:bidi="ar-SA"/>
              </w:rPr>
              <w:t>根据</w:t>
            </w:r>
            <w:r>
              <w:rPr>
                <w:rFonts w:hint="eastAsia" w:cs="Times New Roman"/>
                <w:color w:val="auto"/>
                <w:sz w:val="24"/>
                <w:lang w:val="en-US" w:eastAsia="zh-CN" w:bidi="ar-SA"/>
              </w:rPr>
              <w:t>《果洛海东中学建设项目可行性研究报告》</w:t>
            </w:r>
            <w:r>
              <w:rPr>
                <w:rFonts w:hint="eastAsia" w:ascii="Times New Roman" w:hAnsi="Times New Roman" w:eastAsia="宋体" w:cs="Times New Roman"/>
                <w:color w:val="auto"/>
                <w:sz w:val="24"/>
                <w:lang w:val="en-US" w:eastAsia="zh-CN" w:bidi="ar-SA"/>
              </w:rPr>
              <w:t>，</w:t>
            </w:r>
            <w:r>
              <w:rPr>
                <w:rFonts w:hint="eastAsia"/>
                <w:sz w:val="24"/>
              </w:rPr>
              <w:t>供热锅炉仅在冬季运行。因此，运营期存在1台热水锅炉单独运行（工况1）和热水锅炉与供暖锅炉（工况2）同时运行两种情况。</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本项目</w:t>
            </w:r>
            <w:r>
              <w:rPr>
                <w:rFonts w:hint="eastAsia" w:cs="Times New Roman"/>
                <w:color w:val="auto"/>
                <w:sz w:val="24"/>
                <w:lang w:val="en-US" w:eastAsia="zh-CN" w:bidi="ar-SA"/>
              </w:rPr>
              <w:t>锅炉</w:t>
            </w:r>
            <w:r>
              <w:rPr>
                <w:rFonts w:hint="eastAsia" w:ascii="Times New Roman" w:hAnsi="Times New Roman" w:eastAsia="宋体" w:cs="Times New Roman"/>
                <w:color w:val="auto"/>
                <w:sz w:val="24"/>
                <w:lang w:val="en-US" w:eastAsia="zh-CN" w:bidi="ar-SA"/>
              </w:rPr>
              <w:t>总小时用气量:</w:t>
            </w:r>
            <w:r>
              <w:rPr>
                <w:rFonts w:hint="eastAsia" w:cs="Times New Roman"/>
                <w:color w:val="auto"/>
                <w:sz w:val="24"/>
                <w:lang w:val="en-US" w:eastAsia="zh-CN" w:bidi="ar-SA"/>
              </w:rPr>
              <w:t>810</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w:t>
            </w:r>
            <w:r>
              <w:rPr>
                <w:rFonts w:hint="eastAsia" w:cs="Times New Roman"/>
                <w:color w:val="auto"/>
                <w:sz w:val="24"/>
                <w:lang w:val="en-US" w:eastAsia="zh-CN" w:bidi="ar-SA"/>
              </w:rPr>
              <w:t>最大小时用气量为962.8</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/h，本项目</w:t>
            </w:r>
            <w:r>
              <w:rPr>
                <w:rFonts w:hint="eastAsia" w:cs="Times New Roman"/>
                <w:color w:val="auto"/>
                <w:sz w:val="24"/>
                <w:lang w:val="en-US" w:eastAsia="zh-CN" w:bidi="ar-SA"/>
              </w:rPr>
              <w:t>供暖锅炉和热水锅炉共用一根排气筒。</w:t>
            </w:r>
          </w:p>
          <w:p>
            <w:pPr>
              <w:keepNext/>
              <w:keepLines/>
              <w:wordWrap w:val="0"/>
              <w:topLinePunct/>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根据《排污许可证申请与核发技术规范-锅炉(HJ953-2018)》中提供的燃料基准烟气量（经验公式估算法），燃气锅炉的（天然气）经验公示如下：</w:t>
            </w:r>
          </w:p>
          <w:p>
            <w:pPr>
              <w:keepNext/>
              <w:keepLines/>
              <w:wordWrap w:val="0"/>
              <w:topLinePunct/>
              <w:spacing w:line="360" w:lineRule="auto"/>
              <w:ind w:firstLine="480" w:firstLineChars="200"/>
              <w:jc w:val="center"/>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Vgy=0.285Qnet+0.343</w:t>
            </w:r>
          </w:p>
          <w:p>
            <w:pPr>
              <w:keepNext/>
              <w:keepLines/>
              <w:wordWrap w:val="0"/>
              <w:topLinePunct/>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其中Vgy—燃料基准干烟气量（Nm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/kg或Nm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Qnet—设计燃料低位发热量（MJ/m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）；（取海东燃气的数据33.48MJ/m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根据以上公式核算知，基准烟气量为 9.885Nm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 xml:space="preserve"> /m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cs="Times New Roman"/>
                <w:color w:val="auto"/>
                <w:sz w:val="24"/>
                <w:lang w:val="en-US" w:eastAsia="zh-CN" w:bidi="ar-SA"/>
              </w:rPr>
              <w:t>工况1</w:t>
            </w:r>
            <w:r>
              <w:rPr>
                <w:rFonts w:hint="eastAsia" w:ascii="Times New Roman" w:hAnsi="Times New Roman" w:eastAsia="宋体" w:cs="Times New Roman"/>
                <w:color w:val="auto"/>
                <w:sz w:val="24"/>
                <w:lang w:val="en-US" w:eastAsia="zh-CN" w:bidi="ar-SA"/>
              </w:rPr>
              <w:t>小时最大烟气排放量为</w:t>
            </w:r>
            <w:r>
              <w:rPr>
                <w:rFonts w:hint="eastAsia" w:cs="Times New Roman"/>
                <w:color w:val="auto"/>
                <w:sz w:val="24"/>
                <w:lang w:val="en-US" w:eastAsia="zh-CN" w:bidi="ar-SA"/>
              </w:rPr>
              <w:t>3660.42</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 xml:space="preserve"> /h</w:t>
            </w:r>
            <w:r>
              <w:rPr>
                <w:rFonts w:hint="eastAsia" w:cs="Times New Roman"/>
                <w:color w:val="auto"/>
                <w:sz w:val="24"/>
                <w:lang w:val="en-US" w:eastAsia="zh-CN" w:bidi="ar-SA"/>
              </w:rPr>
              <w:t>，工况2小时</w:t>
            </w:r>
            <w:r>
              <w:rPr>
                <w:rFonts w:hint="eastAsia" w:eastAsia="宋体" w:cs="Times New Roman"/>
                <w:color w:val="auto"/>
                <w:sz w:val="24"/>
                <w:lang w:val="en-US" w:eastAsia="zh-CN" w:bidi="ar-SA"/>
              </w:rPr>
              <w:t>最大烟气量</w:t>
            </w:r>
            <w:r>
              <w:rPr>
                <w:rFonts w:hint="eastAsia" w:ascii="Times New Roman" w:hAnsi="Times New Roman" w:eastAsia="宋体" w:cs="Times New Roman"/>
                <w:color w:val="auto"/>
                <w:sz w:val="24"/>
                <w:lang w:val="en-US" w:eastAsia="zh-CN" w:bidi="ar-SA"/>
              </w:rPr>
              <w:t>排放量为</w:t>
            </w:r>
            <w:r>
              <w:rPr>
                <w:rFonts w:hint="eastAsia" w:cs="Times New Roman"/>
                <w:color w:val="auto"/>
                <w:sz w:val="24"/>
                <w:lang w:val="en-US" w:eastAsia="zh-CN" w:bidi="ar-SA"/>
              </w:rPr>
              <w:t>9517.28</w:t>
            </w:r>
            <w:r>
              <w:rPr>
                <w:rFonts w:hint="eastAsia" w:ascii="Times New Roman" w:hAnsi="Times New Roman" w:eastAsia="宋体" w:cs="Times New Roman"/>
                <w:color w:val="auto"/>
                <w:sz w:val="24"/>
                <w:lang w:val="en-US" w:eastAsia="zh-CN" w:bidi="ar-SA"/>
              </w:rPr>
              <w:t>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 xml:space="preserve"> /h</w:t>
            </w:r>
            <w:r>
              <w:rPr>
                <w:rFonts w:hint="eastAsia" w:eastAsia="宋体" w:cs="Times New Roman"/>
                <w:color w:val="auto"/>
                <w:sz w:val="24"/>
                <w:lang w:val="en-US" w:eastAsia="zh-CN" w:bidi="ar-SA"/>
              </w:rPr>
              <w:t>。</w:t>
            </w:r>
            <w:r>
              <w:rPr>
                <w:rFonts w:hint="eastAsia" w:ascii="Times New Roman" w:hAnsi="Times New Roman" w:eastAsia="宋体" w:cs="Times New Roman"/>
                <w:color w:val="auto"/>
                <w:sz w:val="24"/>
                <w:lang w:val="en-US" w:eastAsia="zh-CN" w:bidi="ar-SA"/>
              </w:rPr>
              <w:t xml:space="preserve"> </w:t>
            </w:r>
            <w:r>
              <w:rPr>
                <w:rFonts w:hint="eastAsia" w:cs="Times New Roman"/>
                <w:color w:val="auto"/>
                <w:sz w:val="24"/>
                <w:lang w:val="en-US" w:eastAsia="zh-CN" w:bidi="ar-SA"/>
              </w:rPr>
              <w:t xml:space="preserve">   </w:t>
            </w:r>
          </w:p>
          <w:p>
            <w:pPr>
              <w:keepNext/>
              <w:keepLines/>
              <w:wordWrap w:val="0"/>
              <w:topLinePunct/>
              <w:spacing w:line="360" w:lineRule="auto"/>
              <w:ind w:firstLine="480" w:firstLineChars="200"/>
              <w:rPr>
                <w:rFonts w:hint="eastAsia" w:cs="Times New Roman"/>
                <w:b w:val="0"/>
                <w:bCs w:val="0"/>
                <w:color w:val="auto"/>
                <w:sz w:val="24"/>
                <w:lang w:val="en-US" w:eastAsia="zh-CN" w:bidi="ar-SA"/>
              </w:rPr>
            </w:pPr>
            <w:r>
              <w:rPr>
                <w:rFonts w:hint="eastAsia" w:ascii="Times New Roman" w:hAnsi="Times New Roman" w:eastAsia="宋体" w:cs="Times New Roman"/>
                <w:color w:val="auto"/>
                <w:sz w:val="24"/>
                <w:lang w:val="en-US" w:eastAsia="zh-CN" w:bidi="ar-SA"/>
              </w:rPr>
              <w:t>（2）各污染因子产排量</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cs="Times New Roman"/>
                <w:b w:val="0"/>
                <w:bCs w:val="0"/>
                <w:color w:val="auto"/>
                <w:sz w:val="24"/>
                <w:lang w:val="en-US" w:eastAsia="zh-CN" w:bidi="ar-SA"/>
              </w:rPr>
              <w:t>1）氮氧化物排放量</w:t>
            </w:r>
          </w:p>
          <w:p>
            <w:pPr>
              <w:keepNext/>
              <w:keepLines/>
              <w:wordWrap w:val="0"/>
              <w:topLinePunct/>
              <w:spacing w:line="360" w:lineRule="auto"/>
              <w:ind w:firstLine="482" w:firstLineChars="200"/>
              <w:rPr>
                <w:rFonts w:hint="default" w:cs="Times New Roman"/>
                <w:b/>
                <w:bCs/>
                <w:color w:val="auto"/>
                <w:sz w:val="24"/>
                <w:lang w:val="en-US" w:eastAsia="zh-CN" w:bidi="ar-SA"/>
              </w:rPr>
            </w:pPr>
            <w:r>
              <w:rPr>
                <w:rFonts w:hint="eastAsia" w:cs="Times New Roman"/>
                <w:b/>
                <w:bCs/>
                <w:color w:val="auto"/>
                <w:sz w:val="24"/>
                <w:lang w:val="en-US" w:eastAsia="zh-CN" w:bidi="ar-SA"/>
              </w:rPr>
              <w:t>工况1（热水锅炉运行）</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cs="Times New Roman"/>
                <w:color w:val="auto"/>
                <w:sz w:val="24"/>
                <w:lang w:val="en-US" w:eastAsia="zh-CN" w:bidi="ar-SA"/>
              </w:rPr>
              <w:t>根据《排污许可证申请与核发技术规范 锅炉》（HJ953-2018）中附录 F3 给出，无低氮燃烧氮氧化物的产污系数为 18.71kg/万 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-燃料，运营期间单台热水锅炉每小时消耗天然气0.03703万 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，氮氧化物产速率为0.693kg/h，烟气排放量3660.42</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/h，本项目锅炉氮氧化物的产生浓度189.32mg/m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w:t>
            </w:r>
          </w:p>
          <w:p>
            <w:pPr>
              <w:keepNext/>
              <w:keepLines/>
              <w:wordWrap w:val="0"/>
              <w:topLinePunct/>
              <w:spacing w:line="360" w:lineRule="auto"/>
              <w:ind w:firstLine="482" w:firstLineChars="200"/>
              <w:rPr>
                <w:rFonts w:hint="eastAsia" w:cs="Times New Roman"/>
                <w:color w:val="auto"/>
                <w:sz w:val="24"/>
                <w:lang w:val="en-US" w:eastAsia="zh-CN" w:bidi="ar-SA"/>
              </w:rPr>
            </w:pPr>
            <w:r>
              <w:rPr>
                <w:rFonts w:hint="eastAsia" w:cs="Times New Roman"/>
                <w:b/>
                <w:bCs/>
                <w:color w:val="auto"/>
                <w:sz w:val="24"/>
                <w:lang w:val="en-US" w:eastAsia="zh-CN" w:bidi="ar-SA"/>
              </w:rPr>
              <w:t>工况2（热水锅炉与供暖锅炉同时运行）</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cs="Times New Roman"/>
                <w:color w:val="auto"/>
                <w:sz w:val="24"/>
                <w:lang w:val="en-US" w:eastAsia="zh-CN" w:bidi="ar-SA"/>
              </w:rPr>
              <w:t>根据《排污许可证申请与核发技术规范 锅炉》（HJ953-2018）中附录 F3 给出，无低氮燃烧氮氧化物的产污系数为 18.71kg/万 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-燃料，运营期间两台锅炉小时最大消耗天然气0.09628万</w:t>
            </w:r>
            <w:r>
              <w:rPr>
                <w:rFonts w:hint="eastAsia" w:ascii="Times New Roman" w:hAnsi="Times New Roman" w:eastAsia="宋体" w:cs="Times New Roman"/>
                <w:color w:val="auto"/>
                <w:sz w:val="24"/>
                <w:lang w:val="en-US" w:eastAsia="zh-CN" w:bidi="ar-SA"/>
              </w:rPr>
              <w:t>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，氮氧化物产生量为1.801kg/h，烟气排放量 9517.28</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/h，本项目锅炉氮氧化物的产生浓度 189.23mg/m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cs="Times New Roman"/>
                <w:color w:val="auto"/>
                <w:sz w:val="24"/>
                <w:lang w:val="en-US" w:eastAsia="zh-CN" w:bidi="ar-SA"/>
              </w:rPr>
              <w:t>本项目运营期拟采取超低氮燃烧技术，根据《科学管理》（2020 年第 1 期）期刊—《燃气锅炉超低氮燃烧器技术应用研究》（周宏斌、刘小见、周磊、张海波、孙小峰）对某公司超低氮改造研究，氮氧化物由改造前的 172mg/m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 xml:space="preserve"> 降低到改造后的 22mg/m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，则采取超低氮燃烧改造后，氮氧化物的去除效率可达 87.21%。根据上述超低氮燃烧技术实践研究，超低氮燃烧技术脱硝率可达85%以上。本项目超低氮效率按照保守的 85%计算。</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cs="Times New Roman"/>
                <w:color w:val="auto"/>
                <w:sz w:val="24"/>
                <w:lang w:val="en-US" w:eastAsia="zh-CN" w:bidi="ar-SA"/>
              </w:rPr>
              <w:t>本项目超低氮效率按照保守的 85%计算，本项目单台热水锅炉运行时氮氧化物排放浓度 28.38mg/m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，排放速率0.104</w:t>
            </w:r>
            <w:r>
              <w:rPr>
                <w:rFonts w:hint="eastAsia" w:ascii="Times New Roman" w:hAnsi="Times New Roman" w:eastAsia="宋体" w:cs="Times New Roman"/>
                <w:color w:val="auto"/>
                <w:sz w:val="24"/>
                <w:lang w:val="en-US" w:eastAsia="zh-CN" w:bidi="ar-SA"/>
              </w:rPr>
              <w:t>kg/h。热水锅炉与供暖锅炉同时运行</w:t>
            </w:r>
            <w:r>
              <w:rPr>
                <w:rFonts w:hint="eastAsia" w:cs="Times New Roman"/>
                <w:color w:val="auto"/>
                <w:sz w:val="24"/>
                <w:lang w:val="en-US" w:eastAsia="zh-CN" w:bidi="ar-SA"/>
              </w:rPr>
              <w:t>时氮氧化物排放浓度 28.38mg/m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，排放速率0.270</w:t>
            </w:r>
            <w:r>
              <w:rPr>
                <w:rFonts w:hint="eastAsia" w:ascii="Times New Roman" w:hAnsi="Times New Roman" w:eastAsia="宋体" w:cs="Times New Roman"/>
                <w:color w:val="auto"/>
                <w:sz w:val="24"/>
                <w:lang w:val="en-US" w:eastAsia="zh-CN" w:bidi="ar-SA"/>
              </w:rPr>
              <w:t>kg/h。</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cs="Times New Roman"/>
                <w:color w:val="auto"/>
                <w:sz w:val="24"/>
                <w:lang w:val="en-US" w:eastAsia="zh-CN" w:bidi="ar-SA"/>
              </w:rPr>
              <w:t>本项目运营期间氮氧化物总排放量为0.267t/a，排放浓度 28.38mg/m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，排放速率0.104</w:t>
            </w:r>
            <w:r>
              <w:rPr>
                <w:rFonts w:hint="eastAsia" w:ascii="Times New Roman" w:hAnsi="Times New Roman" w:eastAsia="宋体" w:cs="Times New Roman"/>
                <w:color w:val="auto"/>
                <w:sz w:val="24"/>
                <w:lang w:val="en-US" w:eastAsia="zh-CN" w:bidi="ar-SA"/>
              </w:rPr>
              <w:t>kg/h。</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cs="Times New Roman"/>
                <w:color w:val="auto"/>
                <w:sz w:val="24"/>
                <w:lang w:val="en-US" w:eastAsia="zh-CN" w:bidi="ar-SA"/>
              </w:rPr>
              <w:t>2）</w:t>
            </w:r>
            <w:r>
              <w:rPr>
                <w:rFonts w:hint="eastAsia" w:ascii="Times New Roman" w:hAnsi="Times New Roman" w:eastAsia="宋体" w:cs="Times New Roman"/>
                <w:color w:val="auto"/>
                <w:sz w:val="24"/>
                <w:lang w:val="en-US" w:eastAsia="zh-CN" w:bidi="ar-SA"/>
              </w:rPr>
              <w:t>二氧化硫</w:t>
            </w:r>
          </w:p>
          <w:p>
            <w:pPr>
              <w:keepNext/>
              <w:keepLines/>
              <w:wordWrap w:val="0"/>
              <w:topLinePunct/>
              <w:spacing w:line="360" w:lineRule="auto"/>
              <w:ind w:firstLine="482" w:firstLineChars="200"/>
              <w:rPr>
                <w:rFonts w:hint="default" w:ascii="Times New Roman" w:hAnsi="Times New Roman" w:eastAsia="宋体"/>
                <w:b/>
                <w:bCs/>
                <w:sz w:val="24"/>
                <w:szCs w:val="24"/>
                <w:lang w:val="en-US" w:eastAsia="zh-CN"/>
              </w:rPr>
            </w:pPr>
            <w:r>
              <w:rPr>
                <w:rFonts w:hint="eastAsia" w:cs="Times New Roman"/>
                <w:b/>
                <w:bCs/>
                <w:color w:val="auto"/>
                <w:sz w:val="24"/>
                <w:lang w:val="en-US" w:eastAsia="zh-CN" w:bidi="ar-SA"/>
              </w:rPr>
              <w:t>工况1（热水锅炉运行）</w:t>
            </w:r>
          </w:p>
          <w:p>
            <w:pPr>
              <w:keepNext/>
              <w:keepLines/>
              <w:wordWrap w:val="0"/>
              <w:topLinePunct/>
              <w:spacing w:line="360" w:lineRule="auto"/>
              <w:ind w:firstLine="480" w:firstLineChars="200"/>
              <w:rPr>
                <w:rFonts w:hint="default" w:eastAsia="宋体" w:cs="Times New Roman"/>
                <w:color w:val="auto"/>
                <w:sz w:val="24"/>
                <w:lang w:val="en-US" w:eastAsia="zh-CN" w:bidi="ar-SA"/>
              </w:rPr>
            </w:pPr>
            <w:r>
              <w:rPr>
                <w:rFonts w:hint="eastAsia" w:ascii="Times New Roman" w:hAnsi="Times New Roman" w:eastAsia="宋体"/>
                <w:sz w:val="24"/>
                <w:szCs w:val="24"/>
              </w:rPr>
              <w:t>根据《排污许可证申请与核发技术规范 锅炉》F.3可知，</w:t>
            </w:r>
            <w:r>
              <w:rPr>
                <w:rFonts w:hint="eastAsia" w:ascii="Times New Roman" w:hAnsi="Times New Roman" w:eastAsia="宋体" w:cs="Times New Roman"/>
                <w:color w:val="auto"/>
                <w:sz w:val="24"/>
                <w:lang w:val="en-US" w:eastAsia="zh-CN" w:bidi="ar-SA"/>
              </w:rPr>
              <w:t>二氧化硫产污系数为0.</w:t>
            </w:r>
            <w:r>
              <w:rPr>
                <w:rFonts w:hint="eastAsia" w:cs="Times New Roman"/>
                <w:color w:val="auto"/>
                <w:sz w:val="24"/>
                <w:lang w:val="en-US" w:eastAsia="zh-CN" w:bidi="ar-SA"/>
              </w:rPr>
              <w:t>4</w:t>
            </w:r>
            <w:r>
              <w:rPr>
                <w:rFonts w:hint="eastAsia" w:ascii="Times New Roman" w:hAnsi="Times New Roman" w:eastAsia="宋体" w:cs="Times New Roman"/>
                <w:color w:val="auto"/>
                <w:sz w:val="24"/>
                <w:lang w:val="en-US" w:eastAsia="zh-CN" w:bidi="ar-SA"/>
              </w:rPr>
              <w:t>kg/万Nm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天然气（</w:t>
            </w:r>
            <w:r>
              <w:rPr>
                <w:rFonts w:hint="eastAsia" w:ascii="Times New Roman" w:hAnsi="Times New Roman" w:eastAsia="宋体"/>
                <w:sz w:val="24"/>
                <w:szCs w:val="24"/>
              </w:rPr>
              <w:t>项目所用天然气总硫含量最大值为20mg/m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r>
              <w:rPr>
                <w:rFonts w:hint="eastAsia" w:cs="Times New Roman"/>
                <w:color w:val="auto"/>
                <w:sz w:val="24"/>
                <w:lang w:val="en-US" w:eastAsia="zh-CN" w:bidi="ar-SA"/>
              </w:rPr>
              <w:t>运营期间单台热水锅炉每小时消耗天然气0.03703万 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w:t>
            </w:r>
            <w:r>
              <w:rPr>
                <w:rFonts w:hint="eastAsia" w:ascii="Times New Roman" w:hAnsi="Times New Roman" w:eastAsia="宋体" w:cs="Times New Roman"/>
                <w:color w:val="auto"/>
                <w:sz w:val="24"/>
                <w:lang w:val="en-US" w:eastAsia="zh-CN" w:bidi="ar-SA"/>
              </w:rPr>
              <w:t>二氧化硫</w:t>
            </w:r>
            <w:r>
              <w:rPr>
                <w:rFonts w:hint="eastAsia" w:eastAsia="宋体" w:cs="Times New Roman"/>
                <w:color w:val="auto"/>
                <w:sz w:val="24"/>
                <w:lang w:val="en-US" w:eastAsia="zh-CN" w:bidi="ar-SA"/>
              </w:rPr>
              <w:t>排放速率为</w:t>
            </w:r>
            <w:r>
              <w:rPr>
                <w:rFonts w:hint="eastAsia" w:cs="Times New Roman"/>
                <w:color w:val="auto"/>
                <w:sz w:val="24"/>
                <w:lang w:val="en-US" w:eastAsia="zh-CN" w:bidi="ar-SA"/>
              </w:rPr>
              <w:t>0.0148</w:t>
            </w:r>
            <w:r>
              <w:rPr>
                <w:rFonts w:hint="eastAsia" w:ascii="Times New Roman" w:hAnsi="Times New Roman" w:eastAsia="宋体" w:cs="Times New Roman"/>
                <w:color w:val="auto"/>
                <w:sz w:val="24"/>
                <w:lang w:val="en-US" w:eastAsia="zh-CN" w:bidi="ar-SA"/>
              </w:rPr>
              <w:t>kg/h</w:t>
            </w:r>
            <w:r>
              <w:rPr>
                <w:rFonts w:hint="eastAsia" w:eastAsia="宋体" w:cs="Times New Roman"/>
                <w:color w:val="auto"/>
                <w:sz w:val="24"/>
                <w:lang w:val="en-US" w:eastAsia="zh-CN" w:bidi="ar-SA"/>
              </w:rPr>
              <w:t>，</w:t>
            </w:r>
            <w:r>
              <w:rPr>
                <w:rFonts w:hint="eastAsia" w:cs="Times New Roman"/>
                <w:color w:val="auto"/>
                <w:sz w:val="24"/>
                <w:lang w:val="en-US" w:eastAsia="zh-CN" w:bidi="ar-SA"/>
              </w:rPr>
              <w:t>烟气排放量3660.42</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w:t>
            </w:r>
            <w:r>
              <w:rPr>
                <w:rFonts w:hint="eastAsia" w:eastAsia="宋体" w:cs="Times New Roman"/>
                <w:color w:val="auto"/>
                <w:sz w:val="24"/>
                <w:lang w:val="en-US" w:eastAsia="zh-CN" w:bidi="ar-SA"/>
              </w:rPr>
              <w:t>排放浓度为</w:t>
            </w:r>
            <w:r>
              <w:rPr>
                <w:rFonts w:hint="eastAsia" w:cs="Times New Roman"/>
                <w:color w:val="auto"/>
                <w:sz w:val="24"/>
                <w:lang w:val="en-US" w:eastAsia="zh-CN" w:bidi="ar-SA"/>
              </w:rPr>
              <w:t>4.04</w:t>
            </w:r>
            <w:r>
              <w:rPr>
                <w:rFonts w:hint="eastAsia" w:ascii="Times New Roman" w:hAnsi="Times New Roman" w:eastAsia="宋体"/>
                <w:sz w:val="24"/>
                <w:szCs w:val="24"/>
              </w:rPr>
              <w:t>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2" w:firstLineChars="200"/>
              <w:rPr>
                <w:rFonts w:hint="eastAsia" w:cs="Times New Roman"/>
                <w:b/>
                <w:bCs/>
                <w:color w:val="auto"/>
                <w:sz w:val="24"/>
                <w:lang w:val="en-US" w:eastAsia="zh-CN" w:bidi="ar-SA"/>
              </w:rPr>
            </w:pPr>
            <w:r>
              <w:rPr>
                <w:rFonts w:hint="eastAsia" w:cs="Times New Roman"/>
                <w:b/>
                <w:bCs/>
                <w:color w:val="auto"/>
                <w:sz w:val="24"/>
                <w:lang w:val="en-US" w:eastAsia="zh-CN" w:bidi="ar-SA"/>
              </w:rPr>
              <w:t>工况2（热水锅炉与供暖锅炉同时运行）</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sz w:val="24"/>
                <w:szCs w:val="24"/>
              </w:rPr>
              <w:t>根据《排污许可证申请与核发技术规范 锅炉》F.3可知，</w:t>
            </w:r>
            <w:r>
              <w:rPr>
                <w:rFonts w:hint="eastAsia" w:ascii="Times New Roman" w:hAnsi="Times New Roman" w:eastAsia="宋体" w:cs="Times New Roman"/>
                <w:color w:val="auto"/>
                <w:sz w:val="24"/>
                <w:lang w:val="en-US" w:eastAsia="zh-CN" w:bidi="ar-SA"/>
              </w:rPr>
              <w:t>二氧化硫产污系数为0.</w:t>
            </w:r>
            <w:r>
              <w:rPr>
                <w:rFonts w:hint="eastAsia" w:cs="Times New Roman"/>
                <w:color w:val="auto"/>
                <w:sz w:val="24"/>
                <w:lang w:val="en-US" w:eastAsia="zh-CN" w:bidi="ar-SA"/>
              </w:rPr>
              <w:t>4</w:t>
            </w:r>
            <w:r>
              <w:rPr>
                <w:rFonts w:hint="eastAsia" w:ascii="Times New Roman" w:hAnsi="Times New Roman" w:eastAsia="宋体" w:cs="Times New Roman"/>
                <w:color w:val="auto"/>
                <w:sz w:val="24"/>
                <w:lang w:val="en-US" w:eastAsia="zh-CN" w:bidi="ar-SA"/>
              </w:rPr>
              <w:t>kg/万Nm</w:t>
            </w:r>
            <w:r>
              <w:rPr>
                <w:rFonts w:hint="eastAsia" w:ascii="Times New Roman" w:hAnsi="Times New Roman" w:eastAsia="宋体" w:cs="Times New Roman"/>
                <w:color w:val="auto"/>
                <w:sz w:val="24"/>
                <w:vertAlign w:val="superscript"/>
                <w:lang w:val="en-US" w:eastAsia="zh-CN" w:bidi="ar-SA"/>
              </w:rPr>
              <w:t>3</w:t>
            </w:r>
            <w:r>
              <w:rPr>
                <w:rFonts w:hint="eastAsia" w:ascii="Times New Roman" w:hAnsi="Times New Roman" w:eastAsia="宋体" w:cs="Times New Roman"/>
                <w:color w:val="auto"/>
                <w:sz w:val="24"/>
                <w:lang w:val="en-US" w:eastAsia="zh-CN" w:bidi="ar-SA"/>
              </w:rPr>
              <w:t>天然气（</w:t>
            </w:r>
            <w:r>
              <w:rPr>
                <w:rFonts w:hint="eastAsia" w:ascii="Times New Roman" w:hAnsi="Times New Roman" w:eastAsia="宋体"/>
                <w:sz w:val="24"/>
                <w:szCs w:val="24"/>
              </w:rPr>
              <w:t>项目所用天然气总硫含量最大值为20mg/m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r>
              <w:rPr>
                <w:rFonts w:hint="eastAsia" w:cs="Times New Roman"/>
                <w:color w:val="auto"/>
                <w:sz w:val="24"/>
                <w:lang w:val="en-US" w:eastAsia="zh-CN" w:bidi="ar-SA"/>
              </w:rPr>
              <w:t>运营期间两台锅炉小时最大消耗天然气0.09628万</w:t>
            </w:r>
            <w:r>
              <w:rPr>
                <w:rFonts w:hint="eastAsia" w:ascii="Times New Roman" w:hAnsi="Times New Roman" w:eastAsia="宋体" w:cs="Times New Roman"/>
                <w:color w:val="auto"/>
                <w:sz w:val="24"/>
                <w:lang w:val="en-US" w:eastAsia="zh-CN" w:bidi="ar-SA"/>
              </w:rPr>
              <w:t>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，二氧化硫排放速率0.0385kg/h，烟气排放量 9517.28</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w:t>
            </w:r>
            <w:r>
              <w:rPr>
                <w:rFonts w:hint="eastAsia" w:eastAsia="宋体" w:cs="Times New Roman"/>
                <w:color w:val="auto"/>
                <w:sz w:val="24"/>
                <w:lang w:val="en-US" w:eastAsia="zh-CN" w:bidi="ar-SA"/>
              </w:rPr>
              <w:t>排放浓度为</w:t>
            </w:r>
            <w:r>
              <w:rPr>
                <w:rFonts w:hint="eastAsia" w:cs="Times New Roman"/>
                <w:color w:val="auto"/>
                <w:sz w:val="24"/>
                <w:lang w:val="en-US" w:eastAsia="zh-CN" w:bidi="ar-SA"/>
              </w:rPr>
              <w:t>4.04</w:t>
            </w:r>
            <w:r>
              <w:rPr>
                <w:rFonts w:hint="eastAsia" w:ascii="Times New Roman" w:hAnsi="Times New Roman" w:eastAsia="宋体"/>
                <w:sz w:val="24"/>
                <w:szCs w:val="24"/>
              </w:rPr>
              <w:t>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cs="Times New Roman"/>
                <w:color w:val="auto"/>
                <w:sz w:val="24"/>
                <w:lang w:val="en-US" w:eastAsia="zh-CN" w:bidi="ar-SA"/>
              </w:rPr>
              <w:t>本项目运营期间二氧化硫总排放量为0.038t/a，排放浓度 4.04mg/m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，最大排放速率0.0385</w:t>
            </w:r>
            <w:r>
              <w:rPr>
                <w:rFonts w:hint="eastAsia" w:ascii="Times New Roman" w:hAnsi="Times New Roman" w:eastAsia="宋体" w:cs="Times New Roman"/>
                <w:color w:val="auto"/>
                <w:sz w:val="24"/>
                <w:lang w:val="en-US" w:eastAsia="zh-CN" w:bidi="ar-SA"/>
              </w:rPr>
              <w:t>kg/h。</w:t>
            </w:r>
          </w:p>
          <w:p>
            <w:pPr>
              <w:keepNext/>
              <w:keepLines/>
              <w:wordWrap w:val="0"/>
              <w:topLinePunct/>
              <w:spacing w:line="360" w:lineRule="auto"/>
              <w:ind w:firstLine="480" w:firstLineChars="200"/>
              <w:rPr>
                <w:rFonts w:hint="default" w:cs="Times New Roman"/>
                <w:color w:val="auto"/>
                <w:sz w:val="24"/>
                <w:lang w:val="en-US" w:eastAsia="zh-CN" w:bidi="ar-SA"/>
              </w:rPr>
            </w:pPr>
            <w:r>
              <w:rPr>
                <w:rFonts w:hint="eastAsia" w:cs="Times New Roman"/>
                <w:color w:val="auto"/>
                <w:sz w:val="24"/>
                <w:lang w:val="en-US" w:eastAsia="zh-CN" w:bidi="ar-SA"/>
              </w:rPr>
              <w:t>3）颗粒物</w:t>
            </w:r>
          </w:p>
          <w:p>
            <w:pPr>
              <w:keepNext/>
              <w:keepLines/>
              <w:wordWrap w:val="0"/>
              <w:topLinePunct/>
              <w:spacing w:line="360" w:lineRule="auto"/>
              <w:ind w:firstLine="482" w:firstLineChars="200"/>
              <w:rPr>
                <w:rFonts w:hint="default" w:cs="Times New Roman"/>
                <w:b/>
                <w:bCs/>
                <w:color w:val="auto"/>
                <w:sz w:val="24"/>
                <w:lang w:val="en-US" w:eastAsia="zh-CN" w:bidi="ar-SA"/>
              </w:rPr>
            </w:pPr>
            <w:r>
              <w:rPr>
                <w:rFonts w:hint="eastAsia" w:cs="Times New Roman"/>
                <w:b/>
                <w:bCs/>
                <w:color w:val="auto"/>
                <w:sz w:val="24"/>
                <w:lang w:val="en-US" w:eastAsia="zh-CN" w:bidi="ar-SA"/>
              </w:rPr>
              <w:t>工况1（热水锅炉运行）</w:t>
            </w:r>
          </w:p>
          <w:p>
            <w:pPr>
              <w:keepNext/>
              <w:keepLines/>
              <w:wordWrap w:val="0"/>
              <w:topLinePunct/>
              <w:spacing w:line="360" w:lineRule="auto"/>
              <w:ind w:firstLine="480" w:firstLineChars="200"/>
              <w:rPr>
                <w:rFonts w:hint="eastAsia" w:ascii="Times New Roman" w:hAnsi="Times New Roman" w:eastAsia="宋体"/>
                <w:sz w:val="24"/>
                <w:szCs w:val="24"/>
              </w:rPr>
            </w:pPr>
            <w:r>
              <w:rPr>
                <w:rFonts w:hint="eastAsia"/>
                <w:sz w:val="24"/>
              </w:rPr>
              <w:t>颗粒物产污系数为1.2kg/万Nm</w:t>
            </w:r>
            <w:r>
              <w:rPr>
                <w:rFonts w:hint="eastAsia"/>
                <w:sz w:val="24"/>
                <w:vertAlign w:val="superscript"/>
              </w:rPr>
              <w:t>3</w:t>
            </w:r>
            <w:r>
              <w:rPr>
                <w:rFonts w:hint="eastAsia"/>
                <w:sz w:val="24"/>
              </w:rPr>
              <w:t>天然气（燃烧废气中的颗粒物取《环境保护实用数据手册》P73中的产污系数，本项目取1.2 kg/万m</w:t>
            </w:r>
            <w:r>
              <w:rPr>
                <w:rFonts w:hint="eastAsia"/>
                <w:sz w:val="24"/>
                <w:vertAlign w:val="superscript"/>
              </w:rPr>
              <w:t>3</w:t>
            </w:r>
            <w:r>
              <w:rPr>
                <w:rFonts w:hint="eastAsia"/>
                <w:sz w:val="24"/>
              </w:rPr>
              <w:t>）。</w:t>
            </w:r>
            <w:r>
              <w:rPr>
                <w:rFonts w:hint="eastAsia" w:ascii="Times New Roman" w:hAnsi="Times New Roman" w:eastAsia="宋体"/>
                <w:sz w:val="24"/>
                <w:szCs w:val="24"/>
              </w:rPr>
              <w:t>经计算：</w:t>
            </w:r>
            <w:r>
              <w:rPr>
                <w:rFonts w:hint="eastAsia" w:cs="Times New Roman"/>
                <w:color w:val="auto"/>
                <w:sz w:val="24"/>
                <w:lang w:val="en-US" w:eastAsia="zh-CN" w:bidi="ar-SA"/>
              </w:rPr>
              <w:t>运营期间单台热水锅炉每小时消耗天然气0.03703万 m</w:t>
            </w:r>
            <w:r>
              <w:rPr>
                <w:rFonts w:hint="eastAsia" w:cs="Times New Roman"/>
                <w:color w:val="auto"/>
                <w:sz w:val="24"/>
                <w:vertAlign w:val="superscript"/>
                <w:lang w:val="en-US" w:eastAsia="zh-CN" w:bidi="ar-SA"/>
              </w:rPr>
              <w:t>3</w:t>
            </w:r>
            <w:r>
              <w:rPr>
                <w:rFonts w:hint="eastAsia" w:cs="Times New Roman"/>
                <w:color w:val="auto"/>
                <w:sz w:val="24"/>
                <w:lang w:val="en-US" w:eastAsia="zh-CN" w:bidi="ar-SA"/>
              </w:rPr>
              <w:t>，颗粒物</w:t>
            </w:r>
            <w:r>
              <w:rPr>
                <w:rFonts w:hint="eastAsia" w:eastAsia="宋体" w:cs="Times New Roman"/>
                <w:color w:val="auto"/>
                <w:sz w:val="24"/>
                <w:lang w:val="en-US" w:eastAsia="zh-CN" w:bidi="ar-SA"/>
              </w:rPr>
              <w:t>排放速率为</w:t>
            </w:r>
            <w:r>
              <w:rPr>
                <w:rFonts w:hint="eastAsia" w:cs="Times New Roman"/>
                <w:color w:val="auto"/>
                <w:sz w:val="24"/>
                <w:lang w:val="en-US" w:eastAsia="zh-CN" w:bidi="ar-SA"/>
              </w:rPr>
              <w:t>0.0444</w:t>
            </w:r>
            <w:r>
              <w:rPr>
                <w:rFonts w:hint="eastAsia" w:ascii="Times New Roman" w:hAnsi="Times New Roman" w:eastAsia="宋体" w:cs="Times New Roman"/>
                <w:color w:val="auto"/>
                <w:sz w:val="24"/>
                <w:lang w:val="en-US" w:eastAsia="zh-CN" w:bidi="ar-SA"/>
              </w:rPr>
              <w:t>kg/h</w:t>
            </w:r>
            <w:r>
              <w:rPr>
                <w:rFonts w:hint="eastAsia" w:eastAsia="宋体" w:cs="Times New Roman"/>
                <w:color w:val="auto"/>
                <w:sz w:val="24"/>
                <w:lang w:val="en-US" w:eastAsia="zh-CN" w:bidi="ar-SA"/>
              </w:rPr>
              <w:t>，</w:t>
            </w:r>
            <w:r>
              <w:rPr>
                <w:rFonts w:hint="eastAsia" w:cs="Times New Roman"/>
                <w:color w:val="auto"/>
                <w:sz w:val="24"/>
                <w:lang w:val="en-US" w:eastAsia="zh-CN" w:bidi="ar-SA"/>
              </w:rPr>
              <w:t>烟气排放量3660.42</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w:t>
            </w:r>
            <w:r>
              <w:rPr>
                <w:rFonts w:hint="eastAsia" w:eastAsia="宋体" w:cs="Times New Roman"/>
                <w:color w:val="auto"/>
                <w:sz w:val="24"/>
                <w:lang w:val="en-US" w:eastAsia="zh-CN" w:bidi="ar-SA"/>
              </w:rPr>
              <w:t>排放浓度为</w:t>
            </w:r>
            <w:r>
              <w:rPr>
                <w:rFonts w:hint="eastAsia" w:cs="Times New Roman"/>
                <w:color w:val="auto"/>
                <w:sz w:val="24"/>
                <w:lang w:val="en-US" w:eastAsia="zh-CN" w:bidi="ar-SA"/>
              </w:rPr>
              <w:t>12.14</w:t>
            </w:r>
            <w:r>
              <w:rPr>
                <w:rFonts w:hint="eastAsia" w:ascii="Times New Roman" w:hAnsi="Times New Roman" w:eastAsia="宋体"/>
                <w:sz w:val="24"/>
                <w:szCs w:val="24"/>
              </w:rPr>
              <w:t>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2" w:firstLineChars="200"/>
              <w:rPr>
                <w:rFonts w:hint="eastAsia" w:cs="Times New Roman"/>
                <w:b/>
                <w:bCs/>
                <w:color w:val="auto"/>
                <w:sz w:val="24"/>
                <w:lang w:val="en-US" w:eastAsia="zh-CN" w:bidi="ar-SA"/>
              </w:rPr>
            </w:pPr>
            <w:r>
              <w:rPr>
                <w:rFonts w:hint="eastAsia" w:cs="Times New Roman"/>
                <w:b/>
                <w:bCs/>
                <w:color w:val="auto"/>
                <w:sz w:val="24"/>
                <w:lang w:val="en-US" w:eastAsia="zh-CN" w:bidi="ar-SA"/>
              </w:rPr>
              <w:t>工况2（热水锅炉与供暖锅炉同时运行）</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sz w:val="24"/>
              </w:rPr>
              <w:t>颗粒物产污系数为1.2kg/万Nm</w:t>
            </w:r>
            <w:r>
              <w:rPr>
                <w:rFonts w:hint="eastAsia"/>
                <w:sz w:val="24"/>
                <w:vertAlign w:val="superscript"/>
              </w:rPr>
              <w:t>3</w:t>
            </w:r>
            <w:r>
              <w:rPr>
                <w:rFonts w:hint="eastAsia"/>
                <w:sz w:val="24"/>
              </w:rPr>
              <w:t>天然气（燃烧废气中的颗粒物取《环境保护实用数据手册》P73中的产污系数，本项目取1.2 kg/万m</w:t>
            </w:r>
            <w:r>
              <w:rPr>
                <w:rFonts w:hint="eastAsia"/>
                <w:sz w:val="24"/>
                <w:vertAlign w:val="superscript"/>
              </w:rPr>
              <w:t>3</w:t>
            </w:r>
            <w:r>
              <w:rPr>
                <w:rFonts w:hint="eastAsia"/>
                <w:sz w:val="24"/>
              </w:rPr>
              <w:t>）。</w:t>
            </w:r>
            <w:r>
              <w:rPr>
                <w:rFonts w:hint="eastAsia" w:ascii="Times New Roman" w:hAnsi="Times New Roman" w:eastAsia="宋体"/>
                <w:sz w:val="24"/>
                <w:szCs w:val="24"/>
              </w:rPr>
              <w:t>经计算：</w:t>
            </w:r>
            <w:r>
              <w:rPr>
                <w:rFonts w:hint="eastAsia" w:cs="Times New Roman"/>
                <w:color w:val="auto"/>
                <w:sz w:val="24"/>
                <w:lang w:val="en-US" w:eastAsia="zh-CN" w:bidi="ar-SA"/>
              </w:rPr>
              <w:t>运营期间两台锅炉小时最大消耗天然气0.09628万</w:t>
            </w:r>
            <w:r>
              <w:rPr>
                <w:rFonts w:hint="eastAsia" w:ascii="Times New Roman" w:hAnsi="Times New Roman" w:eastAsia="宋体" w:cs="Times New Roman"/>
                <w:color w:val="auto"/>
                <w:sz w:val="24"/>
                <w:lang w:val="en-US" w:eastAsia="zh-CN" w:bidi="ar-SA"/>
              </w:rPr>
              <w:t>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，颗粒物排放速率0.116kg/h，烟气排放量 9517.28</w:t>
            </w:r>
            <w:r>
              <w:rPr>
                <w:rFonts w:hint="eastAsia" w:ascii="Times New Roman" w:hAnsi="Times New Roman" w:eastAsia="宋体" w:cs="Times New Roman"/>
                <w:color w:val="auto"/>
                <w:sz w:val="24"/>
                <w:lang w:val="en-US" w:eastAsia="zh-CN" w:bidi="ar-SA"/>
              </w:rPr>
              <w:t xml:space="preserve"> Nm</w:t>
            </w:r>
            <w:r>
              <w:rPr>
                <w:rFonts w:hint="eastAsia" w:ascii="Times New Roman" w:hAnsi="Times New Roman" w:eastAsia="宋体" w:cs="Times New Roman"/>
                <w:color w:val="auto"/>
                <w:sz w:val="24"/>
                <w:vertAlign w:val="superscript"/>
                <w:lang w:val="en-US" w:eastAsia="zh-CN" w:bidi="ar-SA"/>
              </w:rPr>
              <w:t>3</w:t>
            </w:r>
            <w:r>
              <w:rPr>
                <w:rFonts w:hint="eastAsia" w:cs="Times New Roman"/>
                <w:color w:val="auto"/>
                <w:sz w:val="24"/>
                <w:lang w:val="en-US" w:eastAsia="zh-CN" w:bidi="ar-SA"/>
              </w:rPr>
              <w:t xml:space="preserve"> /h，</w:t>
            </w:r>
            <w:r>
              <w:rPr>
                <w:rFonts w:hint="eastAsia" w:eastAsia="宋体" w:cs="Times New Roman"/>
                <w:color w:val="auto"/>
                <w:sz w:val="24"/>
                <w:lang w:val="en-US" w:eastAsia="zh-CN" w:bidi="ar-SA"/>
              </w:rPr>
              <w:t>排放浓度为</w:t>
            </w:r>
            <w:r>
              <w:rPr>
                <w:rFonts w:hint="eastAsia" w:cs="Times New Roman"/>
                <w:color w:val="auto"/>
                <w:sz w:val="24"/>
                <w:lang w:val="en-US" w:eastAsia="zh-CN" w:bidi="ar-SA"/>
              </w:rPr>
              <w:t>12.14</w:t>
            </w:r>
            <w:r>
              <w:rPr>
                <w:rFonts w:hint="eastAsia" w:ascii="Times New Roman" w:hAnsi="Times New Roman" w:eastAsia="宋体"/>
                <w:sz w:val="24"/>
                <w:szCs w:val="24"/>
              </w:rPr>
              <w:t>mg/m</w:t>
            </w:r>
            <w:r>
              <w:rPr>
                <w:rFonts w:hint="eastAsia" w:ascii="Times New Roman" w:hAnsi="Times New Roman" w:eastAsia="宋体"/>
                <w:sz w:val="24"/>
                <w:szCs w:val="24"/>
                <w:vertAlign w:val="superscript"/>
              </w:rPr>
              <w:t>3</w:t>
            </w:r>
            <w:r>
              <w:rPr>
                <w:rFonts w:hint="eastAsia" w:ascii="Times New Roman" w:hAnsi="Times New Roman" w:eastAsia="宋体" w:cs="Times New Roman"/>
                <w:color w:val="auto"/>
                <w:sz w:val="24"/>
                <w:lang w:val="en-US" w:eastAsia="zh-CN" w:bidi="ar-SA"/>
              </w:rPr>
              <w:t>。</w:t>
            </w:r>
          </w:p>
          <w:p>
            <w:pPr>
              <w:keepNext/>
              <w:keepLines/>
              <w:wordWrap w:val="0"/>
              <w:topLinePunct/>
              <w:spacing w:line="360" w:lineRule="auto"/>
              <w:ind w:firstLine="480" w:firstLineChars="200"/>
              <w:rPr>
                <w:rFonts w:hint="eastAsia" w:cs="Times New Roman"/>
                <w:color w:val="auto"/>
                <w:sz w:val="24"/>
                <w:lang w:val="en-US" w:eastAsia="zh-CN" w:bidi="ar-SA"/>
              </w:rPr>
            </w:pPr>
            <w:r>
              <w:rPr>
                <w:rFonts w:hint="eastAsia" w:ascii="Times New Roman" w:hAnsi="Times New Roman" w:eastAsia="宋体"/>
                <w:sz w:val="24"/>
                <w:szCs w:val="24"/>
              </w:rPr>
              <w:t>本项目颗粒物排放量为</w:t>
            </w:r>
            <w:r>
              <w:rPr>
                <w:rFonts w:hint="eastAsia" w:ascii="Times New Roman" w:hAnsi="Times New Roman" w:eastAsia="宋体"/>
                <w:sz w:val="24"/>
                <w:szCs w:val="24"/>
                <w:lang w:val="en-US" w:eastAsia="zh-CN"/>
              </w:rPr>
              <w:t>0.</w:t>
            </w:r>
            <w:r>
              <w:rPr>
                <w:rFonts w:hint="eastAsia"/>
                <w:sz w:val="24"/>
                <w:szCs w:val="24"/>
                <w:lang w:val="en-US" w:eastAsia="zh-CN"/>
              </w:rPr>
              <w:t>115</w:t>
            </w:r>
            <w:r>
              <w:rPr>
                <w:rFonts w:hint="eastAsia" w:ascii="Times New Roman" w:hAnsi="Times New Roman" w:eastAsia="宋体"/>
                <w:sz w:val="24"/>
                <w:szCs w:val="24"/>
              </w:rPr>
              <w:t>t/a。则项目外排废气中颗粒物的浓度为</w:t>
            </w:r>
            <w:r>
              <w:rPr>
                <w:rFonts w:hint="eastAsia"/>
                <w:sz w:val="24"/>
                <w:szCs w:val="24"/>
                <w:lang w:val="en-US" w:eastAsia="zh-CN"/>
              </w:rPr>
              <w:t>12.14</w:t>
            </w:r>
            <w:r>
              <w:rPr>
                <w:rFonts w:hint="eastAsia" w:ascii="Times New Roman" w:hAnsi="Times New Roman" w:eastAsia="宋体"/>
                <w:sz w:val="24"/>
                <w:szCs w:val="24"/>
              </w:rPr>
              <w:t>mg/m</w:t>
            </w:r>
            <w:r>
              <w:rPr>
                <w:rFonts w:hint="eastAsia" w:ascii="Times New Roman" w:hAnsi="Times New Roman" w:eastAsia="宋体"/>
                <w:sz w:val="24"/>
                <w:szCs w:val="24"/>
                <w:vertAlign w:val="superscript"/>
              </w:rPr>
              <w:t>3</w:t>
            </w:r>
            <w:r>
              <w:rPr>
                <w:rFonts w:hint="eastAsia" w:ascii="Times New Roman" w:hAnsi="Times New Roman" w:eastAsia="宋体"/>
                <w:sz w:val="24"/>
                <w:szCs w:val="24"/>
              </w:rPr>
              <w:t>，</w:t>
            </w:r>
            <w:r>
              <w:rPr>
                <w:rFonts w:hint="eastAsia"/>
                <w:sz w:val="24"/>
                <w:szCs w:val="24"/>
                <w:lang w:val="en-US" w:eastAsia="zh-CN"/>
              </w:rPr>
              <w:t>最大</w:t>
            </w:r>
            <w:r>
              <w:rPr>
                <w:rFonts w:hint="eastAsia" w:eastAsia="宋体" w:cs="Times New Roman"/>
                <w:color w:val="auto"/>
                <w:sz w:val="24"/>
                <w:lang w:val="en-US" w:eastAsia="zh-CN" w:bidi="ar-SA"/>
              </w:rPr>
              <w:t>排放速率为</w:t>
            </w:r>
            <w:r>
              <w:rPr>
                <w:rFonts w:hint="eastAsia" w:cs="Times New Roman"/>
                <w:color w:val="auto"/>
                <w:sz w:val="24"/>
                <w:lang w:val="en-US" w:eastAsia="zh-CN" w:bidi="ar-SA"/>
              </w:rPr>
              <w:t>0.116</w:t>
            </w:r>
            <w:r>
              <w:rPr>
                <w:rFonts w:hint="eastAsia" w:ascii="Times New Roman" w:hAnsi="Times New Roman" w:eastAsia="宋体" w:cs="Times New Roman"/>
                <w:color w:val="auto"/>
                <w:sz w:val="24"/>
                <w:lang w:val="en-US" w:eastAsia="zh-CN" w:bidi="ar-SA"/>
              </w:rPr>
              <w:t>kg/h。</w:t>
            </w:r>
          </w:p>
          <w:p>
            <w:pPr>
              <w:keepNext/>
              <w:keepLines/>
              <w:wordWrap w:val="0"/>
              <w:topLinePunct/>
              <w:spacing w:line="360" w:lineRule="auto"/>
              <w:ind w:firstLine="480" w:firstLineChars="200"/>
              <w:rPr>
                <w:rFonts w:ascii="Times New Roman" w:hAnsi="Times New Roman" w:eastAsia="宋体" w:cs="Times New Roman"/>
                <w:color w:val="auto"/>
                <w:sz w:val="24"/>
                <w:lang w:val="en-US" w:eastAsia="zh-CN" w:bidi="ar-SA"/>
              </w:rPr>
            </w:pPr>
            <w:r>
              <w:rPr>
                <w:rFonts w:hint="eastAsia" w:cs="Times New Roman"/>
                <w:color w:val="auto"/>
                <w:sz w:val="24"/>
                <w:lang w:val="en-US" w:eastAsia="zh-CN" w:bidi="ar-SA"/>
              </w:rPr>
              <w:t>根据计算，本项目</w:t>
            </w:r>
            <w:r>
              <w:rPr>
                <w:rFonts w:hint="eastAsia" w:ascii="Times New Roman" w:hAnsi="Times New Roman" w:eastAsia="宋体" w:cs="Times New Roman"/>
                <w:color w:val="auto"/>
                <w:sz w:val="24"/>
                <w:lang w:val="en-US" w:eastAsia="zh-CN" w:bidi="ar-SA"/>
              </w:rPr>
              <w:t>天然气锅炉废气</w:t>
            </w:r>
            <w:r>
              <w:rPr>
                <w:rFonts w:hint="eastAsia" w:cs="Times New Roman"/>
                <w:color w:val="auto"/>
                <w:sz w:val="24"/>
                <w:lang w:val="en-US" w:eastAsia="zh-CN" w:bidi="ar-SA"/>
              </w:rPr>
              <w:t>排放满足</w:t>
            </w:r>
            <w:r>
              <w:rPr>
                <w:rFonts w:hint="eastAsia" w:ascii="Times New Roman" w:hAnsi="Times New Roman" w:eastAsia="宋体" w:cs="Times New Roman"/>
                <w:color w:val="auto"/>
                <w:sz w:val="24"/>
                <w:lang w:val="en-US" w:eastAsia="zh-CN" w:bidi="ar-SA"/>
              </w:rPr>
              <w:t>《锅炉大气污染物排放标准》（GB13271-2014）表3中的特别排放标准，其中NOx排放</w:t>
            </w:r>
            <w:r>
              <w:rPr>
                <w:rFonts w:hint="eastAsia" w:cs="Times New Roman"/>
                <w:color w:val="auto"/>
                <w:sz w:val="24"/>
                <w:lang w:val="en-US" w:eastAsia="zh-CN" w:bidi="ar-SA"/>
              </w:rPr>
              <w:t>满足</w:t>
            </w:r>
            <w:r>
              <w:rPr>
                <w:rFonts w:hint="eastAsia" w:ascii="Times New Roman" w:hAnsi="Times New Roman" w:eastAsia="宋体" w:cs="Times New Roman"/>
                <w:color w:val="auto"/>
                <w:sz w:val="24"/>
                <w:lang w:val="en-US" w:eastAsia="zh-CN" w:bidi="ar-SA"/>
              </w:rPr>
              <w:t>海东市大气污染防治相关要求。</w:t>
            </w:r>
          </w:p>
          <w:p>
            <w:pPr>
              <w:pStyle w:val="60"/>
              <w:bidi w:val="0"/>
              <w:rPr>
                <w:rFonts w:hint="eastAsia"/>
                <w:color w:val="auto"/>
                <w:lang w:val="en-US" w:eastAsia="zh-CN"/>
              </w:rPr>
            </w:pPr>
            <w:r>
              <w:rPr>
                <w:rFonts w:hint="eastAsia"/>
                <w:b/>
                <w:bCs/>
                <w:color w:val="auto"/>
                <w:lang w:val="en-US" w:eastAsia="zh-CN"/>
              </w:rPr>
              <w:t>超低氮燃烧器可行性：</w:t>
            </w:r>
            <w:r>
              <w:rPr>
                <w:rFonts w:hint="eastAsia"/>
                <w:color w:val="auto"/>
                <w:lang w:val="en-US" w:eastAsia="zh-CN"/>
              </w:rPr>
              <w:t>低氮燃烧技术又称为燃料分级或炉内还原（IFNR）技术，它是降低NOx排放的诸多炉内方法中最有效的措施之一。低氮燃烧技术将80%—85%的燃料送入主燃区在空气过量系数α&gt;1的条件下燃烧，其余15%一20%的燃料作为还原剂在主燃烧器的上部某一合适位置喷入形成再燃区，再燃区空气过量系数α&lt;1，再燃区不仅使已经生成的NOx得到还原，同时还抑制了新的NOx的生成，可进一步降低NOx的排放浓度。再燃区上方布置燃尽风以形成燃尽区，保证再燃区出口的未完全燃烧产物燃尽。同其他低NOx燃烧技术比较，再燃低NOx燃烧技术可以大幅度降低NOx排放，一般情况下可以使NOx排放浓度降低80%以上。从而达到氮氧化物排放浓度低于30mg/m</w:t>
            </w:r>
            <w:r>
              <w:rPr>
                <w:rFonts w:hint="eastAsia"/>
                <w:color w:val="auto"/>
                <w:vertAlign w:val="superscript"/>
                <w:lang w:val="en-US" w:eastAsia="zh-CN"/>
              </w:rPr>
              <w:t>3</w:t>
            </w:r>
            <w:r>
              <w:rPr>
                <w:rFonts w:hint="eastAsia"/>
                <w:color w:val="auto"/>
                <w:lang w:val="en-US" w:eastAsia="zh-CN"/>
              </w:rPr>
              <w:t>，因此本项目经采用超低氮燃烧技术后，NOx最终可达标排放。</w:t>
            </w:r>
          </w:p>
          <w:p>
            <w:pPr>
              <w:pStyle w:val="60"/>
              <w:bidi w:val="0"/>
              <w:rPr>
                <w:rFonts w:hint="default"/>
                <w:color w:val="auto"/>
                <w:lang w:val="en-US" w:eastAsia="zh-CN"/>
              </w:rPr>
            </w:pPr>
            <w:r>
              <w:rPr>
                <w:rFonts w:hint="eastAsia"/>
                <w:color w:val="auto"/>
                <w:lang w:val="en-US" w:eastAsia="zh-CN"/>
              </w:rPr>
              <w:t>为进一步说明本项目使用超低氮燃气锅炉后氮氧化物排放浓度低于30mg/m</w:t>
            </w:r>
            <w:r>
              <w:rPr>
                <w:rFonts w:hint="eastAsia"/>
                <w:color w:val="auto"/>
                <w:vertAlign w:val="superscript"/>
                <w:lang w:val="en-US" w:eastAsia="zh-CN"/>
              </w:rPr>
              <w:t>3</w:t>
            </w:r>
            <w:r>
              <w:rPr>
                <w:rFonts w:hint="eastAsia"/>
                <w:color w:val="auto"/>
                <w:lang w:val="en-US" w:eastAsia="zh-CN"/>
              </w:rPr>
              <w:t>，本次引用“青藏高原农副产品集散中心二期锅炉房建设项目竣工环保验收”中的超低氮燃气锅炉（3.5MW、5.6MW）监测数据，具体见下表：</w:t>
            </w:r>
          </w:p>
          <w:p>
            <w:pPr>
              <w:pStyle w:val="27"/>
              <w:bidi w:val="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表4-</w:t>
            </w:r>
            <w:r>
              <w:rPr>
                <w:rFonts w:hint="eastAsia" w:ascii="Times New Roman" w:hAnsi="Times New Roman"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 xml:space="preserve">  青藏高原农副产品集散中心二期锅炉房建设项目</w:t>
            </w:r>
          </w:p>
          <w:p>
            <w:pPr>
              <w:pStyle w:val="27"/>
              <w:bidi w:val="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锅炉废气排放口监测结果</w:t>
            </w:r>
          </w:p>
          <w:tbl>
            <w:tblPr>
              <w:tblStyle w:val="66"/>
              <w:tblW w:w="7727"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590"/>
              <w:gridCol w:w="600"/>
              <w:gridCol w:w="780"/>
              <w:gridCol w:w="670"/>
              <w:gridCol w:w="580"/>
              <w:gridCol w:w="530"/>
              <w:gridCol w:w="620"/>
              <w:gridCol w:w="590"/>
              <w:gridCol w:w="540"/>
              <w:gridCol w:w="550"/>
              <w:gridCol w:w="520"/>
              <w:gridCol w:w="560"/>
              <w:gridCol w:w="5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74" w:hRule="atLeast"/>
                <w:jc w:val="center"/>
              </w:trPr>
              <w:tc>
                <w:tcPr>
                  <w:tcW w:w="590" w:type="dxa"/>
                  <w:vMerge w:val="restart"/>
                  <w:tcBorders>
                    <w:tl2br w:val="nil"/>
                    <w:tr2bl w:val="nil"/>
                  </w:tcBorders>
                  <w:vAlign w:val="top"/>
                </w:tcPr>
                <w:p>
                  <w:pPr>
                    <w:spacing w:line="305" w:lineRule="auto"/>
                    <w:rPr>
                      <w:rFonts w:hint="default" w:ascii="Times New Roman" w:hAnsi="Times New Roman" w:eastAsia="宋体" w:cs="Times New Roman"/>
                      <w:sz w:val="21"/>
                      <w:szCs w:val="21"/>
                    </w:rPr>
                  </w:pPr>
                </w:p>
                <w:p>
                  <w:pPr>
                    <w:pStyle w:val="69"/>
                    <w:spacing w:before="65" w:line="227" w:lineRule="auto"/>
                    <w:ind w:left="89" w:right="78"/>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检测</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3"/>
                      <w:sz w:val="21"/>
                      <w:szCs w:val="21"/>
                    </w:rPr>
                    <w:t>点位</w:t>
                  </w:r>
                </w:p>
              </w:tc>
              <w:tc>
                <w:tcPr>
                  <w:tcW w:w="600" w:type="dxa"/>
                  <w:vMerge w:val="restart"/>
                  <w:tcBorders>
                    <w:tl2br w:val="nil"/>
                    <w:tr2bl w:val="nil"/>
                  </w:tcBorders>
                  <w:vAlign w:val="top"/>
                </w:tcPr>
                <w:p>
                  <w:pPr>
                    <w:pStyle w:val="69"/>
                    <w:spacing w:before="243" w:line="243" w:lineRule="auto"/>
                    <w:ind w:left="94" w:right="78"/>
                    <w:jc w:val="both"/>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校测</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6"/>
                      <w:sz w:val="21"/>
                      <w:szCs w:val="21"/>
                    </w:rPr>
                    <w:t>日期</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2"/>
                      <w:sz w:val="21"/>
                      <w:szCs w:val="21"/>
                    </w:rPr>
                    <w:t>2023</w:t>
                  </w:r>
                </w:p>
              </w:tc>
              <w:tc>
                <w:tcPr>
                  <w:tcW w:w="780" w:type="dxa"/>
                  <w:vMerge w:val="restart"/>
                  <w:tcBorders>
                    <w:tl2br w:val="nil"/>
                    <w:tr2bl w:val="nil"/>
                  </w:tcBorders>
                  <w:vAlign w:val="top"/>
                </w:tcPr>
                <w:p>
                  <w:pPr>
                    <w:spacing w:line="445" w:lineRule="auto"/>
                    <w:rPr>
                      <w:rFonts w:hint="default" w:ascii="Times New Roman" w:hAnsi="Times New Roman" w:eastAsia="宋体" w:cs="Times New Roman"/>
                      <w:sz w:val="21"/>
                      <w:szCs w:val="21"/>
                    </w:rPr>
                  </w:pPr>
                </w:p>
                <w:p>
                  <w:pPr>
                    <w:pStyle w:val="69"/>
                    <w:spacing w:before="65" w:line="219" w:lineRule="auto"/>
                    <w:ind w:left="18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频次</w:t>
                  </w:r>
                </w:p>
              </w:tc>
              <w:tc>
                <w:tcPr>
                  <w:tcW w:w="670" w:type="dxa"/>
                  <w:vMerge w:val="restart"/>
                  <w:tcBorders>
                    <w:tl2br w:val="nil"/>
                    <w:tr2bl w:val="nil"/>
                  </w:tcBorders>
                  <w:vAlign w:val="top"/>
                </w:tcPr>
                <w:p>
                  <w:pPr>
                    <w:pStyle w:val="69"/>
                    <w:spacing w:before="243"/>
                    <w:ind w:left="124" w:right="121"/>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pacing w:val="6"/>
                      <w:sz w:val="21"/>
                      <w:szCs w:val="21"/>
                    </w:rPr>
                    <w:t>烟气</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流量m</w:t>
                  </w:r>
                  <w:r>
                    <w:rPr>
                      <w:rFonts w:hint="default" w:ascii="Times New Roman" w:hAnsi="Times New Roman" w:eastAsia="宋体" w:cs="Times New Roman"/>
                      <w:sz w:val="21"/>
                      <w:szCs w:val="21"/>
                      <w:vertAlign w:val="superscript"/>
                      <w:lang w:val="en-US" w:eastAsia="zh-CN"/>
                    </w:rPr>
                    <w:t>3</w:t>
                  </w:r>
                  <w:r>
                    <w:rPr>
                      <w:rFonts w:hint="default" w:ascii="Times New Roman" w:hAnsi="Times New Roman" w:eastAsia="宋体" w:cs="Times New Roman"/>
                      <w:sz w:val="21"/>
                      <w:szCs w:val="21"/>
                      <w:lang w:val="en-US" w:eastAsia="zh-CN"/>
                    </w:rPr>
                    <w:t>/h</w:t>
                  </w:r>
                </w:p>
              </w:tc>
              <w:tc>
                <w:tcPr>
                  <w:tcW w:w="580" w:type="dxa"/>
                  <w:vMerge w:val="restart"/>
                  <w:tcBorders>
                    <w:tl2br w:val="nil"/>
                    <w:tr2bl w:val="nil"/>
                  </w:tcBorders>
                  <w:vAlign w:val="top"/>
                </w:tcPr>
                <w:p>
                  <w:pPr>
                    <w:pStyle w:val="69"/>
                    <w:spacing w:before="253"/>
                    <w:ind w:left="84" w:right="93"/>
                    <w:jc w:val="both"/>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标杆</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5"/>
                      <w:sz w:val="21"/>
                      <w:szCs w:val="21"/>
                    </w:rPr>
                    <w:t>流量</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m</w:t>
                  </w:r>
                  <w:r>
                    <w:rPr>
                      <w:rFonts w:hint="default" w:ascii="Times New Roman" w:hAnsi="Times New Roman" w:eastAsia="宋体" w:cs="Times New Roman"/>
                      <w:sz w:val="21"/>
                      <w:szCs w:val="21"/>
                      <w:vertAlign w:val="superscript"/>
                      <w:lang w:val="en-US" w:eastAsia="zh-CN"/>
                    </w:rPr>
                    <w:t>3</w:t>
                  </w:r>
                  <w:r>
                    <w:rPr>
                      <w:rFonts w:hint="default" w:ascii="Times New Roman" w:hAnsi="Times New Roman" w:eastAsia="宋体" w:cs="Times New Roman"/>
                      <w:sz w:val="21"/>
                      <w:szCs w:val="21"/>
                      <w:lang w:val="en-US" w:eastAsia="zh-CN"/>
                    </w:rPr>
                    <w:t>/h</w:t>
                  </w:r>
                </w:p>
              </w:tc>
              <w:tc>
                <w:tcPr>
                  <w:tcW w:w="530" w:type="dxa"/>
                  <w:vMerge w:val="restart"/>
                  <w:tcBorders>
                    <w:tl2br w:val="nil"/>
                    <w:tr2bl w:val="nil"/>
                  </w:tcBorders>
                  <w:vAlign w:val="top"/>
                </w:tcPr>
                <w:p>
                  <w:pPr>
                    <w:spacing w:line="315" w:lineRule="auto"/>
                    <w:rPr>
                      <w:rFonts w:hint="default" w:ascii="Times New Roman" w:hAnsi="Times New Roman" w:eastAsia="宋体" w:cs="Times New Roman"/>
                      <w:sz w:val="21"/>
                      <w:szCs w:val="21"/>
                    </w:rPr>
                  </w:pPr>
                </w:p>
                <w:p>
                  <w:pPr>
                    <w:pStyle w:val="69"/>
                    <w:spacing w:before="65" w:line="236" w:lineRule="auto"/>
                    <w:ind w:left="103" w:right="73" w:hanging="49"/>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氧含</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3"/>
                      <w:sz w:val="21"/>
                      <w:szCs w:val="21"/>
                    </w:rPr>
                    <w:t>量%</w:t>
                  </w:r>
                </w:p>
              </w:tc>
              <w:tc>
                <w:tcPr>
                  <w:tcW w:w="1210" w:type="dxa"/>
                  <w:gridSpan w:val="2"/>
                  <w:tcBorders>
                    <w:tl2br w:val="nil"/>
                    <w:tr2bl w:val="nil"/>
                  </w:tcBorders>
                  <w:vAlign w:val="top"/>
                </w:tcPr>
                <w:p>
                  <w:pPr>
                    <w:pStyle w:val="69"/>
                    <w:spacing w:before="113" w:line="220" w:lineRule="auto"/>
                    <w:ind w:left="395"/>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烟尘</w:t>
                  </w:r>
                </w:p>
                <w:p>
                  <w:pPr>
                    <w:pStyle w:val="69"/>
                    <w:spacing w:before="31" w:line="220" w:lineRule="auto"/>
                    <w:ind w:left="19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排放浓度</w:t>
                  </w:r>
                </w:p>
              </w:tc>
              <w:tc>
                <w:tcPr>
                  <w:tcW w:w="1090" w:type="dxa"/>
                  <w:gridSpan w:val="2"/>
                  <w:tcBorders>
                    <w:tl2br w:val="nil"/>
                    <w:tr2bl w:val="nil"/>
                  </w:tcBorders>
                  <w:vAlign w:val="top"/>
                </w:tcPr>
                <w:p>
                  <w:pPr>
                    <w:pStyle w:val="69"/>
                    <w:spacing w:before="194" w:line="176" w:lineRule="auto"/>
                    <w:ind w:left="38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lang w:val="en-US" w:eastAsia="zh-CN"/>
                    </w:rPr>
                    <w:t>S</w:t>
                  </w:r>
                  <w:r>
                    <w:rPr>
                      <w:rFonts w:hint="default" w:ascii="Times New Roman" w:hAnsi="Times New Roman" w:eastAsia="宋体" w:cs="Times New Roman"/>
                      <w:spacing w:val="-3"/>
                      <w:sz w:val="21"/>
                      <w:szCs w:val="21"/>
                    </w:rPr>
                    <w:t>0</w:t>
                  </w:r>
                  <w:r>
                    <w:rPr>
                      <w:rFonts w:hint="default" w:ascii="Times New Roman" w:hAnsi="Times New Roman" w:eastAsia="宋体" w:cs="Times New Roman"/>
                      <w:spacing w:val="-3"/>
                      <w:sz w:val="21"/>
                      <w:szCs w:val="21"/>
                      <w:vertAlign w:val="subscript"/>
                    </w:rPr>
                    <w:t>2</w:t>
                  </w:r>
                </w:p>
                <w:p>
                  <w:pPr>
                    <w:pStyle w:val="69"/>
                    <w:spacing w:line="221" w:lineRule="auto"/>
                    <w:ind w:left="134"/>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2"/>
                      <w:sz w:val="21"/>
                      <w:szCs w:val="21"/>
                      <w:lang w:val="en-US" w:eastAsia="zh-CN"/>
                    </w:rPr>
                    <w:t>排放浓度</w:t>
                  </w:r>
                </w:p>
              </w:tc>
              <w:tc>
                <w:tcPr>
                  <w:tcW w:w="1080" w:type="dxa"/>
                  <w:gridSpan w:val="2"/>
                  <w:tcBorders>
                    <w:tl2br w:val="nil"/>
                    <w:tr2bl w:val="nil"/>
                  </w:tcBorders>
                  <w:vAlign w:val="top"/>
                </w:tcPr>
                <w:p>
                  <w:pPr>
                    <w:pStyle w:val="69"/>
                    <w:spacing w:before="122" w:line="232" w:lineRule="auto"/>
                    <w:ind w:left="135" w:right="141"/>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2"/>
                      <w:sz w:val="21"/>
                      <w:szCs w:val="21"/>
                      <w:lang w:val="en-US" w:eastAsia="zh-CN"/>
                    </w:rPr>
                    <w:t>氮氧化物排放浓度</w:t>
                  </w:r>
                </w:p>
              </w:tc>
              <w:tc>
                <w:tcPr>
                  <w:tcW w:w="597" w:type="dxa"/>
                  <w:vMerge w:val="restart"/>
                  <w:tcBorders>
                    <w:tl2br w:val="nil"/>
                    <w:tr2bl w:val="nil"/>
                  </w:tcBorders>
                  <w:vAlign w:val="top"/>
                </w:tcPr>
                <w:p>
                  <w:pPr>
                    <w:spacing w:line="326" w:lineRule="auto"/>
                    <w:rPr>
                      <w:rFonts w:hint="default" w:ascii="Times New Roman" w:hAnsi="Times New Roman" w:eastAsia="宋体" w:cs="Times New Roman"/>
                      <w:sz w:val="21"/>
                      <w:szCs w:val="21"/>
                    </w:rPr>
                  </w:pPr>
                </w:p>
                <w:p>
                  <w:pPr>
                    <w:pStyle w:val="69"/>
                    <w:spacing w:before="65" w:line="230" w:lineRule="auto"/>
                    <w:ind w:left="124"/>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烟气黑度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2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vMerge w:val="continue"/>
                  <w:tcBorders>
                    <w:tl2br w:val="nil"/>
                    <w:tr2bl w:val="nil"/>
                  </w:tcBorders>
                  <w:vAlign w:val="top"/>
                </w:tcPr>
                <w:p>
                  <w:pPr>
                    <w:rPr>
                      <w:rFonts w:hint="default" w:ascii="Times New Roman" w:hAnsi="Times New Roman" w:eastAsia="宋体" w:cs="Times New Roman"/>
                      <w:sz w:val="21"/>
                      <w:szCs w:val="21"/>
                    </w:rPr>
                  </w:pPr>
                </w:p>
              </w:tc>
              <w:tc>
                <w:tcPr>
                  <w:tcW w:w="670" w:type="dxa"/>
                  <w:vMerge w:val="continue"/>
                  <w:tcBorders>
                    <w:tl2br w:val="nil"/>
                    <w:tr2bl w:val="nil"/>
                  </w:tcBorders>
                  <w:vAlign w:val="top"/>
                </w:tcPr>
                <w:p>
                  <w:pPr>
                    <w:rPr>
                      <w:rFonts w:hint="default" w:ascii="Times New Roman" w:hAnsi="Times New Roman" w:eastAsia="宋体" w:cs="Times New Roman"/>
                      <w:sz w:val="21"/>
                      <w:szCs w:val="21"/>
                    </w:rPr>
                  </w:pPr>
                </w:p>
              </w:tc>
              <w:tc>
                <w:tcPr>
                  <w:tcW w:w="580" w:type="dxa"/>
                  <w:vMerge w:val="continue"/>
                  <w:tcBorders>
                    <w:tl2br w:val="nil"/>
                    <w:tr2bl w:val="nil"/>
                  </w:tcBorders>
                  <w:vAlign w:val="top"/>
                </w:tcPr>
                <w:p>
                  <w:pPr>
                    <w:rPr>
                      <w:rFonts w:hint="default" w:ascii="Times New Roman" w:hAnsi="Times New Roman" w:eastAsia="宋体" w:cs="Times New Roman"/>
                      <w:sz w:val="21"/>
                      <w:szCs w:val="21"/>
                    </w:rPr>
                  </w:pPr>
                </w:p>
              </w:tc>
              <w:tc>
                <w:tcPr>
                  <w:tcW w:w="530" w:type="dxa"/>
                  <w:vMerge w:val="continue"/>
                  <w:tcBorders>
                    <w:tl2br w:val="nil"/>
                    <w:tr2bl w:val="nil"/>
                  </w:tcBorders>
                  <w:vAlign w:val="top"/>
                </w:tcPr>
                <w:p>
                  <w:pPr>
                    <w:rPr>
                      <w:rFonts w:hint="default" w:ascii="Times New Roman" w:hAnsi="Times New Roman" w:eastAsia="宋体" w:cs="Times New Roman"/>
                      <w:sz w:val="21"/>
                      <w:szCs w:val="21"/>
                    </w:rPr>
                  </w:pPr>
                </w:p>
              </w:tc>
              <w:tc>
                <w:tcPr>
                  <w:tcW w:w="620" w:type="dxa"/>
                  <w:tcBorders>
                    <w:tl2br w:val="nil"/>
                    <w:tr2bl w:val="nil"/>
                  </w:tcBorders>
                  <w:vAlign w:val="top"/>
                </w:tcPr>
                <w:p>
                  <w:pPr>
                    <w:pStyle w:val="69"/>
                    <w:spacing w:before="170" w:line="220"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实测</w:t>
                  </w:r>
                </w:p>
              </w:tc>
              <w:tc>
                <w:tcPr>
                  <w:tcW w:w="590" w:type="dxa"/>
                  <w:tcBorders>
                    <w:tl2br w:val="nil"/>
                    <w:tr2bl w:val="nil"/>
                  </w:tcBorders>
                  <w:vAlign w:val="top"/>
                </w:tcPr>
                <w:p>
                  <w:pPr>
                    <w:pStyle w:val="69"/>
                    <w:spacing w:before="169"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折算</w:t>
                  </w:r>
                </w:p>
              </w:tc>
              <w:tc>
                <w:tcPr>
                  <w:tcW w:w="540" w:type="dxa"/>
                  <w:tcBorders>
                    <w:tl2br w:val="nil"/>
                    <w:tr2bl w:val="nil"/>
                  </w:tcBorders>
                  <w:vAlign w:val="top"/>
                </w:tcPr>
                <w:p>
                  <w:pPr>
                    <w:pStyle w:val="69"/>
                    <w:spacing w:before="170" w:line="220" w:lineRule="auto"/>
                    <w:ind w:left="65"/>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实测</w:t>
                  </w:r>
                </w:p>
              </w:tc>
              <w:tc>
                <w:tcPr>
                  <w:tcW w:w="550" w:type="dxa"/>
                  <w:tcBorders>
                    <w:tl2br w:val="nil"/>
                    <w:tr2bl w:val="nil"/>
                  </w:tcBorders>
                  <w:vAlign w:val="top"/>
                </w:tcPr>
                <w:p>
                  <w:pPr>
                    <w:pStyle w:val="69"/>
                    <w:spacing w:before="169" w:line="219" w:lineRule="auto"/>
                    <w:ind w:left="6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折算</w:t>
                  </w:r>
                </w:p>
              </w:tc>
              <w:tc>
                <w:tcPr>
                  <w:tcW w:w="520" w:type="dxa"/>
                  <w:tcBorders>
                    <w:tl2br w:val="nil"/>
                    <w:tr2bl w:val="nil"/>
                  </w:tcBorders>
                  <w:vAlign w:val="top"/>
                </w:tcPr>
                <w:p>
                  <w:pPr>
                    <w:pStyle w:val="69"/>
                    <w:spacing w:before="170" w:line="220" w:lineRule="auto"/>
                    <w:ind w:left="55"/>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实测</w:t>
                  </w:r>
                </w:p>
              </w:tc>
              <w:tc>
                <w:tcPr>
                  <w:tcW w:w="560" w:type="dxa"/>
                  <w:tcBorders>
                    <w:tl2br w:val="nil"/>
                    <w:tr2bl w:val="nil"/>
                  </w:tcBorders>
                  <w:vAlign w:val="top"/>
                </w:tcPr>
                <w:p>
                  <w:pPr>
                    <w:pStyle w:val="69"/>
                    <w:spacing w:before="169" w:line="219" w:lineRule="auto"/>
                    <w:ind w:left="7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折算</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590" w:type="dxa"/>
                  <w:vMerge w:val="restart"/>
                  <w:tcBorders>
                    <w:tl2br w:val="nil"/>
                    <w:tr2bl w:val="nil"/>
                  </w:tcBorders>
                  <w:vAlign w:val="top"/>
                </w:tcPr>
                <w:p>
                  <w:pPr>
                    <w:spacing w:line="273" w:lineRule="auto"/>
                    <w:rPr>
                      <w:rFonts w:hint="default" w:ascii="Times New Roman" w:hAnsi="Times New Roman" w:eastAsia="宋体" w:cs="Times New Roman"/>
                      <w:sz w:val="21"/>
                      <w:szCs w:val="21"/>
                    </w:rPr>
                  </w:pPr>
                </w:p>
                <w:p>
                  <w:pPr>
                    <w:spacing w:line="274" w:lineRule="auto"/>
                    <w:rPr>
                      <w:rFonts w:hint="default" w:ascii="Times New Roman" w:hAnsi="Times New Roman" w:eastAsia="宋体" w:cs="Times New Roman"/>
                      <w:sz w:val="21"/>
                      <w:szCs w:val="21"/>
                    </w:rPr>
                  </w:pPr>
                </w:p>
                <w:p>
                  <w:pPr>
                    <w:spacing w:line="274" w:lineRule="auto"/>
                    <w:rPr>
                      <w:rFonts w:hint="default" w:ascii="Times New Roman" w:hAnsi="Times New Roman" w:eastAsia="宋体" w:cs="Times New Roman"/>
                      <w:sz w:val="21"/>
                      <w:szCs w:val="21"/>
                    </w:rPr>
                  </w:pPr>
                </w:p>
                <w:p>
                  <w:pPr>
                    <w:pStyle w:val="69"/>
                    <w:spacing w:before="22" w:line="222" w:lineRule="auto"/>
                    <w:ind w:left="89"/>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3.5MW锅炉</w:t>
                  </w:r>
                  <w:r>
                    <w:rPr>
                      <w:rFonts w:hint="default" w:ascii="Times New Roman" w:hAnsi="Times New Roman" w:eastAsia="宋体" w:cs="Times New Roman"/>
                      <w:spacing w:val="-3"/>
                      <w:sz w:val="21"/>
                      <w:szCs w:val="21"/>
                    </w:rPr>
                    <w:t>排</w:t>
                  </w:r>
                </w:p>
                <w:p>
                  <w:pPr>
                    <w:pStyle w:val="69"/>
                    <w:spacing w:before="61" w:line="237" w:lineRule="auto"/>
                    <w:ind w:left="2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口</w:t>
                  </w:r>
                </w:p>
              </w:tc>
              <w:tc>
                <w:tcPr>
                  <w:tcW w:w="600" w:type="dxa"/>
                  <w:vMerge w:val="restart"/>
                  <w:tcBorders>
                    <w:tl2br w:val="nil"/>
                    <w:tr2bl w:val="nil"/>
                  </w:tcBorders>
                  <w:vAlign w:val="top"/>
                </w:tcPr>
                <w:p>
                  <w:pPr>
                    <w:spacing w:line="291" w:lineRule="auto"/>
                    <w:rPr>
                      <w:rFonts w:hint="default" w:ascii="Times New Roman" w:hAnsi="Times New Roman" w:eastAsia="宋体" w:cs="Times New Roman"/>
                      <w:sz w:val="21"/>
                      <w:szCs w:val="21"/>
                    </w:rPr>
                  </w:pPr>
                </w:p>
                <w:p>
                  <w:pPr>
                    <w:spacing w:line="291" w:lineRule="auto"/>
                    <w:rPr>
                      <w:rFonts w:hint="default" w:ascii="Times New Roman" w:hAnsi="Times New Roman" w:eastAsia="宋体" w:cs="Times New Roman"/>
                      <w:sz w:val="21"/>
                      <w:szCs w:val="21"/>
                    </w:rPr>
                  </w:pPr>
                </w:p>
                <w:p>
                  <w:pPr>
                    <w:pStyle w:val="69"/>
                    <w:spacing w:before="65" w:line="184" w:lineRule="auto"/>
                    <w:ind w:left="9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5.31</w:t>
                  </w:r>
                </w:p>
              </w:tc>
              <w:tc>
                <w:tcPr>
                  <w:tcW w:w="780" w:type="dxa"/>
                  <w:tcBorders>
                    <w:tl2br w:val="nil"/>
                    <w:tr2bl w:val="nil"/>
                  </w:tcBorders>
                  <w:vAlign w:val="top"/>
                </w:tcPr>
                <w:p>
                  <w:pPr>
                    <w:pStyle w:val="69"/>
                    <w:spacing w:before="130"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第一次</w:t>
                  </w:r>
                </w:p>
              </w:tc>
              <w:tc>
                <w:tcPr>
                  <w:tcW w:w="670" w:type="dxa"/>
                  <w:tcBorders>
                    <w:tl2br w:val="nil"/>
                    <w:tr2bl w:val="nil"/>
                  </w:tcBorders>
                  <w:vAlign w:val="top"/>
                </w:tcPr>
                <w:p>
                  <w:pPr>
                    <w:pStyle w:val="69"/>
                    <w:spacing w:before="181" w:line="183" w:lineRule="auto"/>
                    <w:ind w:left="12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7973</w:t>
                  </w:r>
                </w:p>
              </w:tc>
              <w:tc>
                <w:tcPr>
                  <w:tcW w:w="580" w:type="dxa"/>
                  <w:tcBorders>
                    <w:tl2br w:val="nil"/>
                    <w:tr2bl w:val="nil"/>
                  </w:tcBorders>
                  <w:vAlign w:val="top"/>
                </w:tcPr>
                <w:p>
                  <w:pPr>
                    <w:pStyle w:val="69"/>
                    <w:spacing w:before="181"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4220</w:t>
                  </w:r>
                </w:p>
              </w:tc>
              <w:tc>
                <w:tcPr>
                  <w:tcW w:w="530" w:type="dxa"/>
                  <w:tcBorders>
                    <w:tl2br w:val="nil"/>
                    <w:tr2bl w:val="nil"/>
                  </w:tcBorders>
                  <w:vAlign w:val="top"/>
                </w:tcPr>
                <w:p>
                  <w:pPr>
                    <w:pStyle w:val="69"/>
                    <w:spacing w:before="180" w:line="184"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5.1</w:t>
                  </w:r>
                </w:p>
              </w:tc>
              <w:tc>
                <w:tcPr>
                  <w:tcW w:w="620" w:type="dxa"/>
                  <w:tcBorders>
                    <w:tl2br w:val="nil"/>
                    <w:tr2bl w:val="nil"/>
                  </w:tcBorders>
                  <w:vAlign w:val="top"/>
                </w:tcPr>
                <w:p>
                  <w:pPr>
                    <w:pStyle w:val="69"/>
                    <w:spacing w:before="180"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16.8</w:t>
                  </w:r>
                </w:p>
              </w:tc>
              <w:tc>
                <w:tcPr>
                  <w:tcW w:w="590" w:type="dxa"/>
                  <w:tcBorders>
                    <w:tl2br w:val="nil"/>
                    <w:tr2bl w:val="nil"/>
                  </w:tcBorders>
                  <w:vAlign w:val="top"/>
                </w:tcPr>
                <w:p>
                  <w:pPr>
                    <w:pStyle w:val="69"/>
                    <w:spacing w:before="180"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18.5</w:t>
                  </w:r>
                </w:p>
              </w:tc>
              <w:tc>
                <w:tcPr>
                  <w:tcW w:w="540" w:type="dxa"/>
                  <w:tcBorders>
                    <w:tl2br w:val="nil"/>
                    <w:tr2bl w:val="nil"/>
                  </w:tcBorders>
                  <w:vAlign w:val="top"/>
                </w:tcPr>
                <w:p>
                  <w:pPr>
                    <w:pStyle w:val="69"/>
                    <w:spacing w:before="18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18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181"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60" w:type="dxa"/>
                  <w:tcBorders>
                    <w:tl2br w:val="nil"/>
                    <w:tr2bl w:val="nil"/>
                  </w:tcBorders>
                  <w:vAlign w:val="top"/>
                </w:tcPr>
                <w:p>
                  <w:pPr>
                    <w:pStyle w:val="69"/>
                    <w:spacing w:before="181"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29</w:t>
                  </w:r>
                </w:p>
              </w:tc>
              <w:tc>
                <w:tcPr>
                  <w:tcW w:w="597" w:type="dxa"/>
                  <w:vMerge w:val="restart"/>
                  <w:tcBorders>
                    <w:tl2br w:val="nil"/>
                    <w:tr2bl w:val="nil"/>
                  </w:tcBorders>
                  <w:vAlign w:val="top"/>
                </w:tcPr>
                <w:p>
                  <w:pPr>
                    <w:spacing w:line="267" w:lineRule="auto"/>
                    <w:rPr>
                      <w:rFonts w:hint="default" w:ascii="Times New Roman" w:hAnsi="Times New Roman" w:eastAsia="宋体" w:cs="Times New Roman"/>
                      <w:sz w:val="21"/>
                      <w:szCs w:val="21"/>
                    </w:rPr>
                  </w:pPr>
                </w:p>
                <w:p>
                  <w:pPr>
                    <w:spacing w:line="267" w:lineRule="auto"/>
                    <w:rPr>
                      <w:rFonts w:hint="default" w:ascii="Times New Roman" w:hAnsi="Times New Roman" w:eastAsia="宋体" w:cs="Times New Roman"/>
                      <w:sz w:val="21"/>
                      <w:szCs w:val="21"/>
                    </w:rPr>
                  </w:pPr>
                </w:p>
                <w:p>
                  <w:pPr>
                    <w:pStyle w:val="69"/>
                    <w:spacing w:before="65" w:line="221" w:lineRule="auto"/>
                    <w:jc w:val="right"/>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&lt;1级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30"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第二次</w:t>
                  </w:r>
                </w:p>
              </w:tc>
              <w:tc>
                <w:tcPr>
                  <w:tcW w:w="670" w:type="dxa"/>
                  <w:tcBorders>
                    <w:tl2br w:val="nil"/>
                    <w:tr2bl w:val="nil"/>
                  </w:tcBorders>
                  <w:vAlign w:val="top"/>
                </w:tcPr>
                <w:p>
                  <w:pPr>
                    <w:pStyle w:val="69"/>
                    <w:spacing w:before="180"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10194</w:t>
                  </w:r>
                </w:p>
              </w:tc>
              <w:tc>
                <w:tcPr>
                  <w:tcW w:w="580" w:type="dxa"/>
                  <w:tcBorders>
                    <w:tl2br w:val="nil"/>
                    <w:tr2bl w:val="nil"/>
                  </w:tcBorders>
                  <w:vAlign w:val="top"/>
                </w:tcPr>
                <w:p>
                  <w:pPr>
                    <w:pStyle w:val="69"/>
                    <w:spacing w:before="180"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5312</w:t>
                  </w:r>
                </w:p>
              </w:tc>
              <w:tc>
                <w:tcPr>
                  <w:tcW w:w="530" w:type="dxa"/>
                  <w:tcBorders>
                    <w:tl2br w:val="nil"/>
                    <w:tr2bl w:val="nil"/>
                  </w:tcBorders>
                  <w:vAlign w:val="top"/>
                </w:tcPr>
                <w:p>
                  <w:pPr>
                    <w:pStyle w:val="69"/>
                    <w:spacing w:before="181"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4.9</w:t>
                  </w:r>
                </w:p>
              </w:tc>
              <w:tc>
                <w:tcPr>
                  <w:tcW w:w="620" w:type="dxa"/>
                  <w:tcBorders>
                    <w:tl2br w:val="nil"/>
                    <w:tr2bl w:val="nil"/>
                  </w:tcBorders>
                  <w:vAlign w:val="top"/>
                </w:tcPr>
                <w:p>
                  <w:pPr>
                    <w:pStyle w:val="69"/>
                    <w:spacing w:before="180"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15.0</w:t>
                  </w:r>
                </w:p>
              </w:tc>
              <w:tc>
                <w:tcPr>
                  <w:tcW w:w="590" w:type="dxa"/>
                  <w:tcBorders>
                    <w:tl2br w:val="nil"/>
                    <w:tr2bl w:val="nil"/>
                  </w:tcBorders>
                  <w:vAlign w:val="top"/>
                </w:tcPr>
                <w:p>
                  <w:pPr>
                    <w:pStyle w:val="69"/>
                    <w:spacing w:before="180"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16.3</w:t>
                  </w:r>
                </w:p>
              </w:tc>
              <w:tc>
                <w:tcPr>
                  <w:tcW w:w="540" w:type="dxa"/>
                  <w:tcBorders>
                    <w:tl2br w:val="nil"/>
                    <w:tr2bl w:val="nil"/>
                  </w:tcBorders>
                  <w:vAlign w:val="top"/>
                </w:tcPr>
                <w:p>
                  <w:pPr>
                    <w:pStyle w:val="69"/>
                    <w:spacing w:before="18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18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181"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24</w:t>
                  </w:r>
                </w:p>
              </w:tc>
              <w:tc>
                <w:tcPr>
                  <w:tcW w:w="560" w:type="dxa"/>
                  <w:tcBorders>
                    <w:tl2br w:val="nil"/>
                    <w:tr2bl w:val="nil"/>
                  </w:tcBorders>
                  <w:vAlign w:val="top"/>
                </w:tcPr>
                <w:p>
                  <w:pPr>
                    <w:pStyle w:val="69"/>
                    <w:spacing w:before="181"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40"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第三次</w:t>
                  </w:r>
                </w:p>
              </w:tc>
              <w:tc>
                <w:tcPr>
                  <w:tcW w:w="670" w:type="dxa"/>
                  <w:tcBorders>
                    <w:tl2br w:val="nil"/>
                    <w:tr2bl w:val="nil"/>
                  </w:tcBorders>
                  <w:vAlign w:val="top"/>
                </w:tcPr>
                <w:p>
                  <w:pPr>
                    <w:pStyle w:val="69"/>
                    <w:spacing w:before="190"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10695</w:t>
                  </w:r>
                </w:p>
              </w:tc>
              <w:tc>
                <w:tcPr>
                  <w:tcW w:w="580" w:type="dxa"/>
                  <w:tcBorders>
                    <w:tl2br w:val="nil"/>
                    <w:tr2bl w:val="nil"/>
                  </w:tcBorders>
                  <w:vAlign w:val="top"/>
                </w:tcPr>
                <w:p>
                  <w:pPr>
                    <w:pStyle w:val="69"/>
                    <w:spacing w:before="191"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5660</w:t>
                  </w:r>
                </w:p>
              </w:tc>
              <w:tc>
                <w:tcPr>
                  <w:tcW w:w="530" w:type="dxa"/>
                  <w:tcBorders>
                    <w:tl2br w:val="nil"/>
                    <w:tr2bl w:val="nil"/>
                  </w:tcBorders>
                  <w:vAlign w:val="top"/>
                </w:tcPr>
                <w:p>
                  <w:pPr>
                    <w:pStyle w:val="69"/>
                    <w:spacing w:before="191"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5.0</w:t>
                  </w:r>
                </w:p>
              </w:tc>
              <w:tc>
                <w:tcPr>
                  <w:tcW w:w="620" w:type="dxa"/>
                  <w:tcBorders>
                    <w:tl2br w:val="nil"/>
                    <w:tr2bl w:val="nil"/>
                  </w:tcBorders>
                  <w:vAlign w:val="top"/>
                </w:tcPr>
                <w:p>
                  <w:pPr>
                    <w:pStyle w:val="69"/>
                    <w:spacing w:before="190"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15.1</w:t>
                  </w:r>
                </w:p>
              </w:tc>
              <w:tc>
                <w:tcPr>
                  <w:tcW w:w="590" w:type="dxa"/>
                  <w:tcBorders>
                    <w:tl2br w:val="nil"/>
                    <w:tr2bl w:val="nil"/>
                  </w:tcBorders>
                  <w:vAlign w:val="top"/>
                </w:tcPr>
                <w:p>
                  <w:pPr>
                    <w:pStyle w:val="69"/>
                    <w:spacing w:before="190"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16.5</w:t>
                  </w:r>
                </w:p>
              </w:tc>
              <w:tc>
                <w:tcPr>
                  <w:tcW w:w="540" w:type="dxa"/>
                  <w:tcBorders>
                    <w:tl2br w:val="nil"/>
                    <w:tr2bl w:val="nil"/>
                  </w:tcBorders>
                  <w:vAlign w:val="top"/>
                </w:tcPr>
                <w:p>
                  <w:pPr>
                    <w:pStyle w:val="69"/>
                    <w:spacing w:before="19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191"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191"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24</w:t>
                  </w:r>
                </w:p>
              </w:tc>
              <w:tc>
                <w:tcPr>
                  <w:tcW w:w="560" w:type="dxa"/>
                  <w:tcBorders>
                    <w:tl2br w:val="nil"/>
                    <w:tr2bl w:val="nil"/>
                  </w:tcBorders>
                  <w:vAlign w:val="top"/>
                </w:tcPr>
                <w:p>
                  <w:pPr>
                    <w:pStyle w:val="69"/>
                    <w:spacing w:before="191"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restart"/>
                  <w:tcBorders>
                    <w:tl2br w:val="nil"/>
                    <w:tr2bl w:val="nil"/>
                  </w:tcBorders>
                  <w:vAlign w:val="top"/>
                </w:tcPr>
                <w:p>
                  <w:pPr>
                    <w:spacing w:line="281" w:lineRule="auto"/>
                    <w:rPr>
                      <w:rFonts w:hint="default" w:ascii="Times New Roman" w:hAnsi="Times New Roman" w:eastAsia="宋体" w:cs="Times New Roman"/>
                      <w:sz w:val="21"/>
                      <w:szCs w:val="21"/>
                    </w:rPr>
                  </w:pPr>
                </w:p>
                <w:p>
                  <w:pPr>
                    <w:spacing w:line="282" w:lineRule="auto"/>
                    <w:rPr>
                      <w:rFonts w:hint="default" w:ascii="Times New Roman" w:hAnsi="Times New Roman" w:eastAsia="宋体" w:cs="Times New Roman"/>
                      <w:sz w:val="21"/>
                      <w:szCs w:val="21"/>
                    </w:rPr>
                  </w:pPr>
                </w:p>
                <w:p>
                  <w:pPr>
                    <w:pStyle w:val="69"/>
                    <w:spacing w:before="65" w:line="184" w:lineRule="auto"/>
                    <w:ind w:left="14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6.1</w:t>
                  </w:r>
                </w:p>
              </w:tc>
              <w:tc>
                <w:tcPr>
                  <w:tcW w:w="780" w:type="dxa"/>
                  <w:tcBorders>
                    <w:tl2br w:val="nil"/>
                    <w:tr2bl w:val="nil"/>
                  </w:tcBorders>
                  <w:vAlign w:val="top"/>
                </w:tcPr>
                <w:p>
                  <w:pPr>
                    <w:pStyle w:val="69"/>
                    <w:spacing w:before="131"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第一次</w:t>
                  </w:r>
                </w:p>
              </w:tc>
              <w:tc>
                <w:tcPr>
                  <w:tcW w:w="670" w:type="dxa"/>
                  <w:tcBorders>
                    <w:tl2br w:val="nil"/>
                    <w:tr2bl w:val="nil"/>
                  </w:tcBorders>
                  <w:vAlign w:val="top"/>
                </w:tcPr>
                <w:p>
                  <w:pPr>
                    <w:pStyle w:val="69"/>
                    <w:spacing w:before="181" w:line="184" w:lineRule="auto"/>
                    <w:ind w:left="12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8418</w:t>
                  </w:r>
                </w:p>
              </w:tc>
              <w:tc>
                <w:tcPr>
                  <w:tcW w:w="580" w:type="dxa"/>
                  <w:tcBorders>
                    <w:tl2br w:val="nil"/>
                    <w:tr2bl w:val="nil"/>
                  </w:tcBorders>
                  <w:vAlign w:val="top"/>
                </w:tcPr>
                <w:p>
                  <w:pPr>
                    <w:pStyle w:val="69"/>
                    <w:spacing w:before="182"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4502</w:t>
                  </w:r>
                </w:p>
              </w:tc>
              <w:tc>
                <w:tcPr>
                  <w:tcW w:w="530" w:type="dxa"/>
                  <w:tcBorders>
                    <w:tl2br w:val="nil"/>
                    <w:tr2bl w:val="nil"/>
                  </w:tcBorders>
                  <w:vAlign w:val="top"/>
                </w:tcPr>
                <w:p>
                  <w:pPr>
                    <w:pStyle w:val="69"/>
                    <w:spacing w:before="182"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4.7</w:t>
                  </w:r>
                </w:p>
              </w:tc>
              <w:tc>
                <w:tcPr>
                  <w:tcW w:w="620" w:type="dxa"/>
                  <w:tcBorders>
                    <w:tl2br w:val="nil"/>
                    <w:tr2bl w:val="nil"/>
                  </w:tcBorders>
                  <w:vAlign w:val="top"/>
                </w:tcPr>
                <w:p>
                  <w:pPr>
                    <w:pStyle w:val="69"/>
                    <w:spacing w:before="181"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15.7</w:t>
                  </w:r>
                </w:p>
              </w:tc>
              <w:tc>
                <w:tcPr>
                  <w:tcW w:w="590" w:type="dxa"/>
                  <w:tcBorders>
                    <w:tl2br w:val="nil"/>
                    <w:tr2bl w:val="nil"/>
                  </w:tcBorders>
                  <w:vAlign w:val="top"/>
                </w:tcPr>
                <w:p>
                  <w:pPr>
                    <w:pStyle w:val="69"/>
                    <w:spacing w:before="181"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16.9</w:t>
                  </w:r>
                </w:p>
              </w:tc>
              <w:tc>
                <w:tcPr>
                  <w:tcW w:w="540" w:type="dxa"/>
                  <w:tcBorders>
                    <w:tl2br w:val="nil"/>
                    <w:tr2bl w:val="nil"/>
                  </w:tcBorders>
                  <w:vAlign w:val="top"/>
                </w:tcPr>
                <w:p>
                  <w:pPr>
                    <w:pStyle w:val="69"/>
                    <w:spacing w:before="182"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182"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181" w:line="184"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21</w:t>
                  </w:r>
                </w:p>
              </w:tc>
              <w:tc>
                <w:tcPr>
                  <w:tcW w:w="560" w:type="dxa"/>
                  <w:tcBorders>
                    <w:tl2br w:val="nil"/>
                    <w:tr2bl w:val="nil"/>
                  </w:tcBorders>
                  <w:vAlign w:val="top"/>
                </w:tcPr>
                <w:p>
                  <w:pPr>
                    <w:pStyle w:val="69"/>
                    <w:spacing w:before="182"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23</w:t>
                  </w:r>
                </w:p>
              </w:tc>
              <w:tc>
                <w:tcPr>
                  <w:tcW w:w="597" w:type="dxa"/>
                  <w:vMerge w:val="restart"/>
                  <w:tcBorders>
                    <w:tl2br w:val="nil"/>
                    <w:tr2bl w:val="nil"/>
                  </w:tcBorders>
                  <w:vAlign w:val="top"/>
                </w:tcPr>
                <w:p>
                  <w:pPr>
                    <w:spacing w:line="257" w:lineRule="auto"/>
                    <w:rPr>
                      <w:rFonts w:hint="default" w:ascii="Times New Roman" w:hAnsi="Times New Roman" w:eastAsia="宋体" w:cs="Times New Roman"/>
                      <w:sz w:val="21"/>
                      <w:szCs w:val="21"/>
                    </w:rPr>
                  </w:pPr>
                </w:p>
                <w:p>
                  <w:pPr>
                    <w:spacing w:line="258" w:lineRule="auto"/>
                    <w:rPr>
                      <w:rFonts w:hint="default" w:ascii="Times New Roman" w:hAnsi="Times New Roman" w:eastAsia="宋体" w:cs="Times New Roman"/>
                      <w:sz w:val="21"/>
                      <w:szCs w:val="21"/>
                    </w:rPr>
                  </w:pPr>
                </w:p>
                <w:p>
                  <w:pPr>
                    <w:pStyle w:val="69"/>
                    <w:spacing w:before="65" w:line="221" w:lineRule="auto"/>
                    <w:jc w:val="right"/>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&lt;1级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01"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第二次</w:t>
                  </w:r>
                </w:p>
              </w:tc>
              <w:tc>
                <w:tcPr>
                  <w:tcW w:w="670" w:type="dxa"/>
                  <w:tcBorders>
                    <w:tl2br w:val="nil"/>
                    <w:tr2bl w:val="nil"/>
                  </w:tcBorders>
                  <w:vAlign w:val="top"/>
                </w:tcPr>
                <w:p>
                  <w:pPr>
                    <w:pStyle w:val="69"/>
                    <w:spacing w:before="151"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10024</w:t>
                  </w:r>
                </w:p>
              </w:tc>
              <w:tc>
                <w:tcPr>
                  <w:tcW w:w="580" w:type="dxa"/>
                  <w:tcBorders>
                    <w:tl2br w:val="nil"/>
                    <w:tr2bl w:val="nil"/>
                  </w:tcBorders>
                  <w:vAlign w:val="top"/>
                </w:tcPr>
                <w:p>
                  <w:pPr>
                    <w:pStyle w:val="69"/>
                    <w:spacing w:before="152"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5262</w:t>
                  </w:r>
                </w:p>
              </w:tc>
              <w:tc>
                <w:tcPr>
                  <w:tcW w:w="530" w:type="dxa"/>
                  <w:tcBorders>
                    <w:tl2br w:val="nil"/>
                    <w:tr2bl w:val="nil"/>
                  </w:tcBorders>
                  <w:vAlign w:val="top"/>
                </w:tcPr>
                <w:p>
                  <w:pPr>
                    <w:pStyle w:val="69"/>
                    <w:spacing w:before="152"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151"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14.9</w:t>
                  </w:r>
                </w:p>
              </w:tc>
              <w:tc>
                <w:tcPr>
                  <w:tcW w:w="590" w:type="dxa"/>
                  <w:tcBorders>
                    <w:tl2br w:val="nil"/>
                    <w:tr2bl w:val="nil"/>
                  </w:tcBorders>
                  <w:vAlign w:val="top"/>
                </w:tcPr>
                <w:p>
                  <w:pPr>
                    <w:pStyle w:val="69"/>
                    <w:spacing w:before="151"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16.1</w:t>
                  </w:r>
                </w:p>
              </w:tc>
              <w:tc>
                <w:tcPr>
                  <w:tcW w:w="540" w:type="dxa"/>
                  <w:tcBorders>
                    <w:tl2br w:val="nil"/>
                    <w:tr2bl w:val="nil"/>
                  </w:tcBorders>
                  <w:vAlign w:val="top"/>
                </w:tcPr>
                <w:p>
                  <w:pPr>
                    <w:pStyle w:val="69"/>
                    <w:spacing w:before="152"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152"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152"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24</w:t>
                  </w:r>
                </w:p>
              </w:tc>
              <w:tc>
                <w:tcPr>
                  <w:tcW w:w="560" w:type="dxa"/>
                  <w:tcBorders>
                    <w:tl2br w:val="nil"/>
                    <w:tr2bl w:val="nil"/>
                  </w:tcBorders>
                  <w:vAlign w:val="top"/>
                </w:tcPr>
                <w:p>
                  <w:pPr>
                    <w:pStyle w:val="69"/>
                    <w:spacing w:before="152"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52"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第三次</w:t>
                  </w:r>
                </w:p>
              </w:tc>
              <w:tc>
                <w:tcPr>
                  <w:tcW w:w="670" w:type="dxa"/>
                  <w:tcBorders>
                    <w:tl2br w:val="nil"/>
                    <w:tr2bl w:val="nil"/>
                  </w:tcBorders>
                  <w:vAlign w:val="top"/>
                </w:tcPr>
                <w:p>
                  <w:pPr>
                    <w:pStyle w:val="69"/>
                    <w:spacing w:before="202"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11057</w:t>
                  </w:r>
                </w:p>
              </w:tc>
              <w:tc>
                <w:tcPr>
                  <w:tcW w:w="580" w:type="dxa"/>
                  <w:tcBorders>
                    <w:tl2br w:val="nil"/>
                    <w:tr2bl w:val="nil"/>
                  </w:tcBorders>
                  <w:vAlign w:val="top"/>
                </w:tcPr>
                <w:p>
                  <w:pPr>
                    <w:pStyle w:val="69"/>
                    <w:spacing w:before="202"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5919</w:t>
                  </w:r>
                </w:p>
              </w:tc>
              <w:tc>
                <w:tcPr>
                  <w:tcW w:w="530" w:type="dxa"/>
                  <w:tcBorders>
                    <w:tl2br w:val="nil"/>
                    <w:tr2bl w:val="nil"/>
                  </w:tcBorders>
                  <w:vAlign w:val="top"/>
                </w:tcPr>
                <w:p>
                  <w:pPr>
                    <w:pStyle w:val="69"/>
                    <w:spacing w:before="203"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202"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17.4</w:t>
                  </w:r>
                </w:p>
              </w:tc>
              <w:tc>
                <w:tcPr>
                  <w:tcW w:w="590" w:type="dxa"/>
                  <w:tcBorders>
                    <w:tl2br w:val="nil"/>
                    <w:tr2bl w:val="nil"/>
                  </w:tcBorders>
                  <w:vAlign w:val="top"/>
                </w:tcPr>
                <w:p>
                  <w:pPr>
                    <w:pStyle w:val="69"/>
                    <w:spacing w:before="202"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rPr>
                    <w:t>1B.8</w:t>
                  </w:r>
                </w:p>
              </w:tc>
              <w:tc>
                <w:tcPr>
                  <w:tcW w:w="540" w:type="dxa"/>
                  <w:tcBorders>
                    <w:tl2br w:val="nil"/>
                    <w:tr2bl w:val="nil"/>
                  </w:tcBorders>
                  <w:vAlign w:val="top"/>
                </w:tcPr>
                <w:p>
                  <w:pPr>
                    <w:pStyle w:val="69"/>
                    <w:spacing w:before="203"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3"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2" w:line="184"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21</w:t>
                  </w:r>
                </w:p>
              </w:tc>
              <w:tc>
                <w:tcPr>
                  <w:tcW w:w="560" w:type="dxa"/>
                  <w:tcBorders>
                    <w:tl2br w:val="nil"/>
                    <w:tr2bl w:val="nil"/>
                  </w:tcBorders>
                  <w:vAlign w:val="top"/>
                </w:tcPr>
                <w:p>
                  <w:pPr>
                    <w:pStyle w:val="69"/>
                    <w:spacing w:before="203"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23</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590" w:type="dxa"/>
                  <w:vMerge w:val="restart"/>
                  <w:tcBorders>
                    <w:tl2br w:val="nil"/>
                    <w:tr2bl w:val="nil"/>
                  </w:tcBorders>
                  <w:vAlign w:val="top"/>
                </w:tcPr>
                <w:p>
                  <w:pPr>
                    <w:spacing w:line="273" w:lineRule="auto"/>
                    <w:rPr>
                      <w:rFonts w:hint="default" w:ascii="Times New Roman" w:hAnsi="Times New Roman" w:eastAsia="宋体" w:cs="Times New Roman"/>
                      <w:sz w:val="21"/>
                      <w:szCs w:val="21"/>
                    </w:rPr>
                  </w:pPr>
                </w:p>
                <w:p>
                  <w:pPr>
                    <w:spacing w:line="273" w:lineRule="auto"/>
                    <w:rPr>
                      <w:rFonts w:hint="default" w:ascii="Times New Roman" w:hAnsi="Times New Roman" w:eastAsia="宋体" w:cs="Times New Roman"/>
                      <w:sz w:val="21"/>
                      <w:szCs w:val="21"/>
                    </w:rPr>
                  </w:pPr>
                </w:p>
                <w:p>
                  <w:pPr>
                    <w:spacing w:line="274" w:lineRule="auto"/>
                    <w:rPr>
                      <w:rFonts w:hint="default" w:ascii="Times New Roman" w:hAnsi="Times New Roman" w:eastAsia="宋体" w:cs="Times New Roman"/>
                      <w:sz w:val="21"/>
                      <w:szCs w:val="21"/>
                    </w:rPr>
                  </w:pPr>
                </w:p>
                <w:p>
                  <w:pPr>
                    <w:spacing w:line="274" w:lineRule="auto"/>
                    <w:rPr>
                      <w:rFonts w:hint="default" w:ascii="Times New Roman" w:hAnsi="Times New Roman" w:eastAsia="宋体" w:cs="Times New Roman"/>
                      <w:sz w:val="21"/>
                      <w:szCs w:val="21"/>
                    </w:rPr>
                  </w:pPr>
                </w:p>
                <w:p>
                  <w:pPr>
                    <w:pStyle w:val="69"/>
                    <w:spacing w:before="65" w:line="222" w:lineRule="auto"/>
                    <w:ind w:left="89"/>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lang w:val="en-US" w:eastAsia="zh-CN"/>
                    </w:rPr>
                    <w:t>5.6MW锅炉</w:t>
                  </w:r>
                  <w:r>
                    <w:rPr>
                      <w:rFonts w:hint="default" w:ascii="Times New Roman" w:hAnsi="Times New Roman" w:eastAsia="宋体" w:cs="Times New Roman"/>
                      <w:spacing w:val="-3"/>
                      <w:sz w:val="21"/>
                      <w:szCs w:val="21"/>
                    </w:rPr>
                    <w:t>排</w:t>
                  </w:r>
                </w:p>
                <w:p>
                  <w:pPr>
                    <w:pStyle w:val="69"/>
                    <w:spacing w:before="32" w:line="237" w:lineRule="auto"/>
                    <w:ind w:left="22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口</w:t>
                  </w:r>
                </w:p>
              </w:tc>
              <w:tc>
                <w:tcPr>
                  <w:tcW w:w="600" w:type="dxa"/>
                  <w:vMerge w:val="restart"/>
                  <w:tcBorders>
                    <w:tl2br w:val="nil"/>
                    <w:tr2bl w:val="nil"/>
                  </w:tcBorders>
                  <w:vAlign w:val="top"/>
                </w:tcPr>
                <w:p>
                  <w:pPr>
                    <w:spacing w:line="317" w:lineRule="auto"/>
                    <w:rPr>
                      <w:rFonts w:hint="default" w:ascii="Times New Roman" w:hAnsi="Times New Roman" w:eastAsia="宋体" w:cs="Times New Roman"/>
                      <w:sz w:val="21"/>
                      <w:szCs w:val="21"/>
                    </w:rPr>
                  </w:pPr>
                </w:p>
                <w:p>
                  <w:pPr>
                    <w:spacing w:line="317" w:lineRule="auto"/>
                    <w:rPr>
                      <w:rFonts w:hint="default" w:ascii="Times New Roman" w:hAnsi="Times New Roman" w:eastAsia="宋体" w:cs="Times New Roman"/>
                      <w:sz w:val="21"/>
                      <w:szCs w:val="21"/>
                    </w:rPr>
                  </w:pPr>
                </w:p>
                <w:p>
                  <w:pPr>
                    <w:pStyle w:val="69"/>
                    <w:spacing w:before="65" w:line="184" w:lineRule="auto"/>
                    <w:ind w:left="9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5.31</w:t>
                  </w:r>
                </w:p>
              </w:tc>
              <w:tc>
                <w:tcPr>
                  <w:tcW w:w="780" w:type="dxa"/>
                  <w:tcBorders>
                    <w:tl2br w:val="nil"/>
                    <w:tr2bl w:val="nil"/>
                  </w:tcBorders>
                  <w:vAlign w:val="top"/>
                </w:tcPr>
                <w:p>
                  <w:pPr>
                    <w:pStyle w:val="69"/>
                    <w:spacing w:before="153"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第一次</w:t>
                  </w:r>
                </w:p>
              </w:tc>
              <w:tc>
                <w:tcPr>
                  <w:tcW w:w="670" w:type="dxa"/>
                  <w:tcBorders>
                    <w:tl2br w:val="nil"/>
                    <w:tr2bl w:val="nil"/>
                  </w:tcBorders>
                  <w:vAlign w:val="top"/>
                </w:tcPr>
                <w:p>
                  <w:pPr>
                    <w:pStyle w:val="69"/>
                    <w:spacing w:before="203"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11048</w:t>
                  </w:r>
                </w:p>
              </w:tc>
              <w:tc>
                <w:tcPr>
                  <w:tcW w:w="580" w:type="dxa"/>
                  <w:tcBorders>
                    <w:tl2br w:val="nil"/>
                    <w:tr2bl w:val="nil"/>
                  </w:tcBorders>
                  <w:vAlign w:val="top"/>
                </w:tcPr>
                <w:p>
                  <w:pPr>
                    <w:pStyle w:val="69"/>
                    <w:spacing w:before="203"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6681</w:t>
                  </w:r>
                </w:p>
              </w:tc>
              <w:tc>
                <w:tcPr>
                  <w:tcW w:w="530" w:type="dxa"/>
                  <w:tcBorders>
                    <w:tl2br w:val="nil"/>
                    <w:tr2bl w:val="nil"/>
                  </w:tcBorders>
                  <w:vAlign w:val="top"/>
                </w:tcPr>
                <w:p>
                  <w:pPr>
                    <w:pStyle w:val="69"/>
                    <w:spacing w:before="204"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203"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16.4</w:t>
                  </w:r>
                </w:p>
              </w:tc>
              <w:tc>
                <w:tcPr>
                  <w:tcW w:w="590" w:type="dxa"/>
                  <w:tcBorders>
                    <w:tl2br w:val="nil"/>
                    <w:tr2bl w:val="nil"/>
                  </w:tcBorders>
                  <w:vAlign w:val="top"/>
                </w:tcPr>
                <w:p>
                  <w:pPr>
                    <w:pStyle w:val="69"/>
                    <w:spacing w:before="203"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17.7</w:t>
                  </w:r>
                </w:p>
              </w:tc>
              <w:tc>
                <w:tcPr>
                  <w:tcW w:w="540" w:type="dxa"/>
                  <w:tcBorders>
                    <w:tl2br w:val="nil"/>
                    <w:tr2bl w:val="nil"/>
                  </w:tcBorders>
                  <w:vAlign w:val="top"/>
                </w:tcPr>
                <w:p>
                  <w:pPr>
                    <w:pStyle w:val="69"/>
                    <w:spacing w:before="204"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4"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4"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23</w:t>
                  </w:r>
                </w:p>
              </w:tc>
              <w:tc>
                <w:tcPr>
                  <w:tcW w:w="560" w:type="dxa"/>
                  <w:tcBorders>
                    <w:tl2br w:val="nil"/>
                    <w:tr2bl w:val="nil"/>
                  </w:tcBorders>
                  <w:vAlign w:val="top"/>
                </w:tcPr>
                <w:p>
                  <w:pPr>
                    <w:pStyle w:val="69"/>
                    <w:spacing w:before="204"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25</w:t>
                  </w:r>
                </w:p>
              </w:tc>
              <w:tc>
                <w:tcPr>
                  <w:tcW w:w="597" w:type="dxa"/>
                  <w:vMerge w:val="restart"/>
                  <w:tcBorders>
                    <w:tl2br w:val="nil"/>
                    <w:tr2bl w:val="nil"/>
                  </w:tcBorders>
                  <w:vAlign w:val="top"/>
                </w:tcPr>
                <w:p>
                  <w:pPr>
                    <w:spacing w:line="293" w:lineRule="auto"/>
                    <w:rPr>
                      <w:rFonts w:hint="default" w:ascii="Times New Roman" w:hAnsi="Times New Roman" w:eastAsia="宋体" w:cs="Times New Roman"/>
                      <w:sz w:val="21"/>
                      <w:szCs w:val="21"/>
                    </w:rPr>
                  </w:pPr>
                </w:p>
                <w:p>
                  <w:pPr>
                    <w:spacing w:line="294" w:lineRule="auto"/>
                    <w:rPr>
                      <w:rFonts w:hint="default" w:ascii="Times New Roman" w:hAnsi="Times New Roman" w:eastAsia="宋体" w:cs="Times New Roman"/>
                      <w:sz w:val="21"/>
                      <w:szCs w:val="21"/>
                    </w:rPr>
                  </w:pPr>
                </w:p>
                <w:p>
                  <w:pPr>
                    <w:pStyle w:val="69"/>
                    <w:spacing w:before="65" w:line="221" w:lineRule="auto"/>
                    <w:jc w:val="right"/>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&lt;1级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90"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54"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第二次</w:t>
                  </w:r>
                </w:p>
              </w:tc>
              <w:tc>
                <w:tcPr>
                  <w:tcW w:w="670" w:type="dxa"/>
                  <w:tcBorders>
                    <w:tl2br w:val="nil"/>
                    <w:tr2bl w:val="nil"/>
                  </w:tcBorders>
                  <w:vAlign w:val="top"/>
                </w:tcPr>
                <w:p>
                  <w:pPr>
                    <w:pStyle w:val="69"/>
                    <w:spacing w:before="204"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11428</w:t>
                  </w:r>
                </w:p>
              </w:tc>
              <w:tc>
                <w:tcPr>
                  <w:tcW w:w="580" w:type="dxa"/>
                  <w:tcBorders>
                    <w:tl2br w:val="nil"/>
                    <w:tr2bl w:val="nil"/>
                  </w:tcBorders>
                  <w:vAlign w:val="top"/>
                </w:tcPr>
                <w:p>
                  <w:pPr>
                    <w:pStyle w:val="69"/>
                    <w:spacing w:before="205"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6864</w:t>
                  </w:r>
                </w:p>
              </w:tc>
              <w:tc>
                <w:tcPr>
                  <w:tcW w:w="530" w:type="dxa"/>
                  <w:tcBorders>
                    <w:tl2br w:val="nil"/>
                    <w:tr2bl w:val="nil"/>
                  </w:tcBorders>
                  <w:vAlign w:val="top"/>
                </w:tcPr>
                <w:p>
                  <w:pPr>
                    <w:pStyle w:val="69"/>
                    <w:spacing w:before="205"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204"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15.9</w:t>
                  </w:r>
                </w:p>
              </w:tc>
              <w:tc>
                <w:tcPr>
                  <w:tcW w:w="590" w:type="dxa"/>
                  <w:tcBorders>
                    <w:tl2br w:val="nil"/>
                    <w:tr2bl w:val="nil"/>
                  </w:tcBorders>
                  <w:vAlign w:val="top"/>
                </w:tcPr>
                <w:p>
                  <w:pPr>
                    <w:pStyle w:val="69"/>
                    <w:spacing w:before="204"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17.2</w:t>
                  </w:r>
                </w:p>
              </w:tc>
              <w:tc>
                <w:tcPr>
                  <w:tcW w:w="540" w:type="dxa"/>
                  <w:tcBorders>
                    <w:tl2br w:val="nil"/>
                    <w:tr2bl w:val="nil"/>
                  </w:tcBorders>
                  <w:vAlign w:val="top"/>
                </w:tcPr>
                <w:p>
                  <w:pPr>
                    <w:pStyle w:val="69"/>
                    <w:spacing w:before="205"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5"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4" w:line="184"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21</w:t>
                  </w:r>
                </w:p>
              </w:tc>
              <w:tc>
                <w:tcPr>
                  <w:tcW w:w="560" w:type="dxa"/>
                  <w:tcBorders>
                    <w:tl2br w:val="nil"/>
                    <w:tr2bl w:val="nil"/>
                  </w:tcBorders>
                  <w:vAlign w:val="top"/>
                </w:tcPr>
                <w:p>
                  <w:pPr>
                    <w:pStyle w:val="69"/>
                    <w:spacing w:before="205"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23</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9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54"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第三次</w:t>
                  </w:r>
                </w:p>
              </w:tc>
              <w:tc>
                <w:tcPr>
                  <w:tcW w:w="670" w:type="dxa"/>
                  <w:tcBorders>
                    <w:tl2br w:val="nil"/>
                    <w:tr2bl w:val="nil"/>
                  </w:tcBorders>
                  <w:vAlign w:val="top"/>
                </w:tcPr>
                <w:p>
                  <w:pPr>
                    <w:pStyle w:val="69"/>
                    <w:spacing w:before="205" w:line="183" w:lineRule="auto"/>
                    <w:ind w:left="12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9007</w:t>
                  </w:r>
                </w:p>
              </w:tc>
              <w:tc>
                <w:tcPr>
                  <w:tcW w:w="580" w:type="dxa"/>
                  <w:tcBorders>
                    <w:tl2br w:val="nil"/>
                    <w:tr2bl w:val="nil"/>
                  </w:tcBorders>
                  <w:vAlign w:val="top"/>
                </w:tcPr>
                <w:p>
                  <w:pPr>
                    <w:pStyle w:val="69"/>
                    <w:spacing w:before="205"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5424</w:t>
                  </w:r>
                </w:p>
              </w:tc>
              <w:tc>
                <w:tcPr>
                  <w:tcW w:w="530" w:type="dxa"/>
                  <w:tcBorders>
                    <w:tl2br w:val="nil"/>
                    <w:tr2bl w:val="nil"/>
                  </w:tcBorders>
                  <w:vAlign w:val="top"/>
                </w:tcPr>
                <w:p>
                  <w:pPr>
                    <w:pStyle w:val="69"/>
                    <w:spacing w:before="205"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4.9</w:t>
                  </w:r>
                </w:p>
              </w:tc>
              <w:tc>
                <w:tcPr>
                  <w:tcW w:w="620" w:type="dxa"/>
                  <w:tcBorders>
                    <w:tl2br w:val="nil"/>
                    <w:tr2bl w:val="nil"/>
                  </w:tcBorders>
                  <w:vAlign w:val="top"/>
                </w:tcPr>
                <w:p>
                  <w:pPr>
                    <w:pStyle w:val="69"/>
                    <w:spacing w:before="204"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15.7</w:t>
                  </w:r>
                </w:p>
              </w:tc>
              <w:tc>
                <w:tcPr>
                  <w:tcW w:w="590" w:type="dxa"/>
                  <w:tcBorders>
                    <w:tl2br w:val="nil"/>
                    <w:tr2bl w:val="nil"/>
                  </w:tcBorders>
                  <w:vAlign w:val="top"/>
                </w:tcPr>
                <w:p>
                  <w:pPr>
                    <w:pStyle w:val="69"/>
                    <w:spacing w:before="204"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17.1</w:t>
                  </w:r>
                </w:p>
              </w:tc>
              <w:tc>
                <w:tcPr>
                  <w:tcW w:w="540" w:type="dxa"/>
                  <w:tcBorders>
                    <w:tl2br w:val="nil"/>
                    <w:tr2bl w:val="nil"/>
                  </w:tcBorders>
                  <w:vAlign w:val="top"/>
                </w:tcPr>
                <w:p>
                  <w:pPr>
                    <w:pStyle w:val="69"/>
                    <w:spacing w:before="205"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5"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5"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24</w:t>
                  </w:r>
                </w:p>
              </w:tc>
              <w:tc>
                <w:tcPr>
                  <w:tcW w:w="560" w:type="dxa"/>
                  <w:tcBorders>
                    <w:tl2br w:val="nil"/>
                    <w:tr2bl w:val="nil"/>
                  </w:tcBorders>
                  <w:vAlign w:val="top"/>
                </w:tcPr>
                <w:p>
                  <w:pPr>
                    <w:pStyle w:val="69"/>
                    <w:spacing w:before="205"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restart"/>
                  <w:tcBorders>
                    <w:tl2br w:val="nil"/>
                    <w:tr2bl w:val="nil"/>
                  </w:tcBorders>
                  <w:vAlign w:val="top"/>
                </w:tcPr>
                <w:p>
                  <w:pPr>
                    <w:spacing w:line="323" w:lineRule="auto"/>
                    <w:rPr>
                      <w:rFonts w:hint="default" w:ascii="Times New Roman" w:hAnsi="Times New Roman" w:eastAsia="宋体" w:cs="Times New Roman"/>
                      <w:sz w:val="21"/>
                      <w:szCs w:val="21"/>
                    </w:rPr>
                  </w:pPr>
                </w:p>
                <w:p>
                  <w:pPr>
                    <w:spacing w:line="323" w:lineRule="auto"/>
                    <w:rPr>
                      <w:rFonts w:hint="default" w:ascii="Times New Roman" w:hAnsi="Times New Roman" w:eastAsia="宋体" w:cs="Times New Roman"/>
                      <w:sz w:val="21"/>
                      <w:szCs w:val="21"/>
                    </w:rPr>
                  </w:pPr>
                </w:p>
                <w:p>
                  <w:pPr>
                    <w:pStyle w:val="69"/>
                    <w:spacing w:before="65" w:line="184" w:lineRule="auto"/>
                    <w:ind w:left="14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6.1</w:t>
                  </w:r>
                </w:p>
              </w:tc>
              <w:tc>
                <w:tcPr>
                  <w:tcW w:w="780" w:type="dxa"/>
                  <w:tcBorders>
                    <w:tl2br w:val="nil"/>
                    <w:tr2bl w:val="nil"/>
                  </w:tcBorders>
                  <w:vAlign w:val="top"/>
                </w:tcPr>
                <w:p>
                  <w:pPr>
                    <w:pStyle w:val="69"/>
                    <w:spacing w:before="155"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第一次</w:t>
                  </w:r>
                </w:p>
              </w:tc>
              <w:tc>
                <w:tcPr>
                  <w:tcW w:w="670" w:type="dxa"/>
                  <w:tcBorders>
                    <w:tl2br w:val="nil"/>
                    <w:tr2bl w:val="nil"/>
                  </w:tcBorders>
                  <w:vAlign w:val="top"/>
                </w:tcPr>
                <w:p>
                  <w:pPr>
                    <w:pStyle w:val="69"/>
                    <w:spacing w:before="205" w:line="184" w:lineRule="auto"/>
                    <w:ind w:left="75"/>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11236</w:t>
                  </w:r>
                </w:p>
              </w:tc>
              <w:tc>
                <w:tcPr>
                  <w:tcW w:w="580" w:type="dxa"/>
                  <w:tcBorders>
                    <w:tl2br w:val="nil"/>
                    <w:tr2bl w:val="nil"/>
                  </w:tcBorders>
                  <w:vAlign w:val="top"/>
                </w:tcPr>
                <w:p>
                  <w:pPr>
                    <w:pStyle w:val="69"/>
                    <w:spacing w:before="206"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6770</w:t>
                  </w:r>
                </w:p>
              </w:tc>
              <w:tc>
                <w:tcPr>
                  <w:tcW w:w="530" w:type="dxa"/>
                  <w:tcBorders>
                    <w:tl2br w:val="nil"/>
                    <w:tr2bl w:val="nil"/>
                  </w:tcBorders>
                  <w:vAlign w:val="top"/>
                </w:tcPr>
                <w:p>
                  <w:pPr>
                    <w:pStyle w:val="69"/>
                    <w:spacing w:before="206"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205"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17.1</w:t>
                  </w:r>
                </w:p>
              </w:tc>
              <w:tc>
                <w:tcPr>
                  <w:tcW w:w="590" w:type="dxa"/>
                  <w:tcBorders>
                    <w:tl2br w:val="nil"/>
                    <w:tr2bl w:val="nil"/>
                  </w:tcBorders>
                  <w:vAlign w:val="top"/>
                </w:tcPr>
                <w:p>
                  <w:pPr>
                    <w:pStyle w:val="69"/>
                    <w:spacing w:before="205"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18.5</w:t>
                  </w:r>
                </w:p>
              </w:tc>
              <w:tc>
                <w:tcPr>
                  <w:tcW w:w="540" w:type="dxa"/>
                  <w:tcBorders>
                    <w:tl2br w:val="nil"/>
                    <w:tr2bl w:val="nil"/>
                  </w:tcBorders>
                  <w:vAlign w:val="top"/>
                </w:tcPr>
                <w:p>
                  <w:pPr>
                    <w:pStyle w:val="69"/>
                    <w:spacing w:before="206"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6"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6"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23</w:t>
                  </w:r>
                </w:p>
              </w:tc>
              <w:tc>
                <w:tcPr>
                  <w:tcW w:w="560" w:type="dxa"/>
                  <w:tcBorders>
                    <w:tl2br w:val="nil"/>
                    <w:tr2bl w:val="nil"/>
                  </w:tcBorders>
                  <w:vAlign w:val="top"/>
                </w:tcPr>
                <w:p>
                  <w:pPr>
                    <w:pStyle w:val="69"/>
                    <w:spacing w:before="206"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25</w:t>
                  </w:r>
                </w:p>
              </w:tc>
              <w:tc>
                <w:tcPr>
                  <w:tcW w:w="597" w:type="dxa"/>
                  <w:vMerge w:val="restart"/>
                  <w:tcBorders>
                    <w:tl2br w:val="nil"/>
                    <w:tr2bl w:val="nil"/>
                  </w:tcBorders>
                  <w:vAlign w:val="top"/>
                </w:tcPr>
                <w:p>
                  <w:pPr>
                    <w:spacing w:line="298" w:lineRule="auto"/>
                    <w:rPr>
                      <w:rFonts w:hint="default" w:ascii="Times New Roman" w:hAnsi="Times New Roman" w:eastAsia="宋体" w:cs="Times New Roman"/>
                      <w:sz w:val="21"/>
                      <w:szCs w:val="21"/>
                    </w:rPr>
                  </w:pPr>
                </w:p>
                <w:p>
                  <w:pPr>
                    <w:spacing w:line="299" w:lineRule="auto"/>
                    <w:rPr>
                      <w:rFonts w:hint="default" w:ascii="Times New Roman" w:hAnsi="Times New Roman" w:eastAsia="宋体" w:cs="Times New Roman"/>
                      <w:sz w:val="21"/>
                      <w:szCs w:val="21"/>
                    </w:rPr>
                  </w:pPr>
                </w:p>
                <w:p>
                  <w:pPr>
                    <w:pStyle w:val="69"/>
                    <w:spacing w:before="65" w:line="221" w:lineRule="auto"/>
                    <w:ind w:right="2"/>
                    <w:jc w:val="righ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pacing w:val="3"/>
                      <w:sz w:val="21"/>
                      <w:szCs w:val="21"/>
                    </w:rPr>
                    <w:t>&lt;1</w:t>
                  </w:r>
                  <w:r>
                    <w:rPr>
                      <w:rFonts w:hint="default" w:ascii="Times New Roman" w:hAnsi="Times New Roman" w:eastAsia="宋体" w:cs="Times New Roman"/>
                      <w:spacing w:val="3"/>
                      <w:sz w:val="21"/>
                      <w:szCs w:val="21"/>
                      <w:lang w:val="en-US" w:eastAsia="zh-CN"/>
                    </w:rPr>
                    <w:t>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66"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第二次</w:t>
                  </w:r>
                </w:p>
              </w:tc>
              <w:tc>
                <w:tcPr>
                  <w:tcW w:w="670" w:type="dxa"/>
                  <w:tcBorders>
                    <w:tl2br w:val="nil"/>
                    <w:tr2bl w:val="nil"/>
                  </w:tcBorders>
                  <w:vAlign w:val="top"/>
                </w:tcPr>
                <w:p>
                  <w:pPr>
                    <w:pStyle w:val="69"/>
                    <w:spacing w:before="217" w:line="183" w:lineRule="auto"/>
                    <w:ind w:left="12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8777</w:t>
                  </w:r>
                </w:p>
              </w:tc>
              <w:tc>
                <w:tcPr>
                  <w:tcW w:w="580" w:type="dxa"/>
                  <w:tcBorders>
                    <w:tl2br w:val="nil"/>
                    <w:tr2bl w:val="nil"/>
                  </w:tcBorders>
                  <w:vAlign w:val="top"/>
                </w:tcPr>
                <w:p>
                  <w:pPr>
                    <w:pStyle w:val="69"/>
                    <w:spacing w:before="217"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5284</w:t>
                  </w:r>
                </w:p>
              </w:tc>
              <w:tc>
                <w:tcPr>
                  <w:tcW w:w="530" w:type="dxa"/>
                  <w:tcBorders>
                    <w:tl2br w:val="nil"/>
                    <w:tr2bl w:val="nil"/>
                  </w:tcBorders>
                  <w:vAlign w:val="top"/>
                </w:tcPr>
                <w:p>
                  <w:pPr>
                    <w:pStyle w:val="69"/>
                    <w:spacing w:before="217"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4.8</w:t>
                  </w:r>
                </w:p>
              </w:tc>
              <w:tc>
                <w:tcPr>
                  <w:tcW w:w="620" w:type="dxa"/>
                  <w:tcBorders>
                    <w:tl2br w:val="nil"/>
                    <w:tr2bl w:val="nil"/>
                  </w:tcBorders>
                  <w:vAlign w:val="top"/>
                </w:tcPr>
                <w:p>
                  <w:pPr>
                    <w:pStyle w:val="69"/>
                    <w:spacing w:before="216"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15.6</w:t>
                  </w:r>
                </w:p>
              </w:tc>
              <w:tc>
                <w:tcPr>
                  <w:tcW w:w="590" w:type="dxa"/>
                  <w:tcBorders>
                    <w:tl2br w:val="nil"/>
                    <w:tr2bl w:val="nil"/>
                  </w:tcBorders>
                  <w:vAlign w:val="top"/>
                </w:tcPr>
                <w:p>
                  <w:pPr>
                    <w:pStyle w:val="69"/>
                    <w:spacing w:before="216"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16.9</w:t>
                  </w:r>
                </w:p>
              </w:tc>
              <w:tc>
                <w:tcPr>
                  <w:tcW w:w="540" w:type="dxa"/>
                  <w:tcBorders>
                    <w:tl2br w:val="nil"/>
                    <w:tr2bl w:val="nil"/>
                  </w:tcBorders>
                  <w:vAlign w:val="top"/>
                </w:tcPr>
                <w:p>
                  <w:pPr>
                    <w:pStyle w:val="69"/>
                    <w:spacing w:before="217"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17"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17"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60" w:type="dxa"/>
                  <w:tcBorders>
                    <w:tl2br w:val="nil"/>
                    <w:tr2bl w:val="nil"/>
                  </w:tcBorders>
                  <w:vAlign w:val="top"/>
                </w:tcPr>
                <w:p>
                  <w:pPr>
                    <w:pStyle w:val="69"/>
                    <w:spacing w:before="217"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28</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94" w:hRule="atLeast"/>
                <w:jc w:val="center"/>
              </w:trPr>
              <w:tc>
                <w:tcPr>
                  <w:tcW w:w="590" w:type="dxa"/>
                  <w:vMerge w:val="continue"/>
                  <w:tcBorders>
                    <w:tl2br w:val="nil"/>
                    <w:tr2bl w:val="nil"/>
                  </w:tcBorders>
                  <w:vAlign w:val="top"/>
                </w:tcPr>
                <w:p>
                  <w:pPr>
                    <w:rPr>
                      <w:rFonts w:hint="default" w:ascii="Times New Roman" w:hAnsi="Times New Roman" w:eastAsia="宋体" w:cs="Times New Roman"/>
                      <w:sz w:val="21"/>
                      <w:szCs w:val="21"/>
                    </w:rPr>
                  </w:pPr>
                </w:p>
              </w:tc>
              <w:tc>
                <w:tcPr>
                  <w:tcW w:w="600" w:type="dxa"/>
                  <w:vMerge w:val="continue"/>
                  <w:tcBorders>
                    <w:tl2br w:val="nil"/>
                    <w:tr2bl w:val="nil"/>
                  </w:tcBorders>
                  <w:vAlign w:val="top"/>
                </w:tcPr>
                <w:p>
                  <w:pPr>
                    <w:rPr>
                      <w:rFonts w:hint="default" w:ascii="Times New Roman" w:hAnsi="Times New Roman" w:eastAsia="宋体" w:cs="Times New Roman"/>
                      <w:sz w:val="21"/>
                      <w:szCs w:val="21"/>
                    </w:rPr>
                  </w:pPr>
                </w:p>
              </w:tc>
              <w:tc>
                <w:tcPr>
                  <w:tcW w:w="780" w:type="dxa"/>
                  <w:tcBorders>
                    <w:tl2br w:val="nil"/>
                    <w:tr2bl w:val="nil"/>
                  </w:tcBorders>
                  <w:vAlign w:val="top"/>
                </w:tcPr>
                <w:p>
                  <w:pPr>
                    <w:pStyle w:val="69"/>
                    <w:spacing w:before="157" w:line="219"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第三次</w:t>
                  </w:r>
                </w:p>
              </w:tc>
              <w:tc>
                <w:tcPr>
                  <w:tcW w:w="670" w:type="dxa"/>
                  <w:tcBorders>
                    <w:tl2br w:val="nil"/>
                    <w:tr2bl w:val="nil"/>
                  </w:tcBorders>
                  <w:vAlign w:val="top"/>
                </w:tcPr>
                <w:p>
                  <w:pPr>
                    <w:pStyle w:val="69"/>
                    <w:spacing w:before="208" w:line="183" w:lineRule="auto"/>
                    <w:ind w:left="12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7422</w:t>
                  </w:r>
                </w:p>
              </w:tc>
              <w:tc>
                <w:tcPr>
                  <w:tcW w:w="580" w:type="dxa"/>
                  <w:tcBorders>
                    <w:tl2br w:val="nil"/>
                    <w:tr2bl w:val="nil"/>
                  </w:tcBorders>
                  <w:vAlign w:val="top"/>
                </w:tcPr>
                <w:p>
                  <w:pPr>
                    <w:pStyle w:val="69"/>
                    <w:spacing w:before="208" w:line="183"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4502</w:t>
                  </w:r>
                </w:p>
              </w:tc>
              <w:tc>
                <w:tcPr>
                  <w:tcW w:w="530" w:type="dxa"/>
                  <w:tcBorders>
                    <w:tl2br w:val="nil"/>
                    <w:tr2bl w:val="nil"/>
                  </w:tcBorders>
                  <w:vAlign w:val="top"/>
                </w:tcPr>
                <w:p>
                  <w:pPr>
                    <w:pStyle w:val="69"/>
                    <w:spacing w:before="208" w:line="183" w:lineRule="auto"/>
                    <w:ind w:left="10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5.0</w:t>
                  </w:r>
                </w:p>
              </w:tc>
              <w:tc>
                <w:tcPr>
                  <w:tcW w:w="620" w:type="dxa"/>
                  <w:tcBorders>
                    <w:tl2br w:val="nil"/>
                    <w:tr2bl w:val="nil"/>
                  </w:tcBorders>
                  <w:vAlign w:val="top"/>
                </w:tcPr>
                <w:p>
                  <w:pPr>
                    <w:pStyle w:val="69"/>
                    <w:spacing w:before="207" w:line="184" w:lineRule="auto"/>
                    <w:ind w:left="105"/>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14.1</w:t>
                  </w:r>
                </w:p>
              </w:tc>
              <w:tc>
                <w:tcPr>
                  <w:tcW w:w="590" w:type="dxa"/>
                  <w:tcBorders>
                    <w:tl2br w:val="nil"/>
                    <w:tr2bl w:val="nil"/>
                  </w:tcBorders>
                  <w:vAlign w:val="top"/>
                </w:tcPr>
                <w:p>
                  <w:pPr>
                    <w:pStyle w:val="69"/>
                    <w:spacing w:before="207" w:line="184" w:lineRule="auto"/>
                    <w:ind w:left="84"/>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15.4</w:t>
                  </w:r>
                </w:p>
              </w:tc>
              <w:tc>
                <w:tcPr>
                  <w:tcW w:w="540" w:type="dxa"/>
                  <w:tcBorders>
                    <w:tl2br w:val="nil"/>
                    <w:tr2bl w:val="nil"/>
                  </w:tcBorders>
                  <w:vAlign w:val="top"/>
                </w:tcPr>
                <w:p>
                  <w:pPr>
                    <w:pStyle w:val="69"/>
                    <w:spacing w:before="208"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50" w:type="dxa"/>
                  <w:tcBorders>
                    <w:tl2br w:val="nil"/>
                    <w:tr2bl w:val="nil"/>
                  </w:tcBorders>
                  <w:vAlign w:val="top"/>
                </w:tcPr>
                <w:p>
                  <w:pPr>
                    <w:pStyle w:val="69"/>
                    <w:spacing w:before="208" w:line="183" w:lineRule="auto"/>
                    <w:ind w:left="164"/>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3L</w:t>
                  </w:r>
                </w:p>
              </w:tc>
              <w:tc>
                <w:tcPr>
                  <w:tcW w:w="520" w:type="dxa"/>
                  <w:tcBorders>
                    <w:tl2br w:val="nil"/>
                    <w:tr2bl w:val="nil"/>
                  </w:tcBorders>
                  <w:vAlign w:val="top"/>
                </w:tcPr>
                <w:p>
                  <w:pPr>
                    <w:pStyle w:val="69"/>
                    <w:spacing w:before="208" w:line="183" w:lineRule="auto"/>
                    <w:ind w:left="15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24</w:t>
                  </w:r>
                </w:p>
              </w:tc>
              <w:tc>
                <w:tcPr>
                  <w:tcW w:w="560" w:type="dxa"/>
                  <w:tcBorders>
                    <w:tl2br w:val="nil"/>
                    <w:tr2bl w:val="nil"/>
                  </w:tcBorders>
                  <w:vAlign w:val="top"/>
                </w:tcPr>
                <w:p>
                  <w:pPr>
                    <w:pStyle w:val="69"/>
                    <w:spacing w:before="208" w:line="183" w:lineRule="auto"/>
                    <w:ind w:left="175"/>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26</w:t>
                  </w:r>
                </w:p>
              </w:tc>
              <w:tc>
                <w:tcPr>
                  <w:tcW w:w="597" w:type="dxa"/>
                  <w:vMerge w:val="continue"/>
                  <w:tcBorders>
                    <w:tl2br w:val="nil"/>
                    <w:tr2bl w:val="nil"/>
                  </w:tcBorders>
                  <w:vAlign w:val="top"/>
                </w:tcPr>
                <w:p>
                  <w:pPr>
                    <w:rPr>
                      <w:rFonts w:hint="default" w:ascii="Times New Roman" w:hAnsi="Times New Roman" w:eastAsia="宋体" w:cs="Times New Roman"/>
                      <w:sz w:val="21"/>
                      <w:szCs w:val="21"/>
                    </w:rPr>
                  </w:pPr>
                </w:p>
              </w:tc>
            </w:tr>
          </w:tbl>
          <w:p>
            <w:pPr>
              <w:pStyle w:val="60"/>
              <w:bidi w:val="0"/>
              <w:ind w:left="0" w:leftChars="0" w:firstLine="480" w:firstLineChars="200"/>
              <w:rPr>
                <w:rFonts w:hint="default"/>
                <w:color w:val="auto"/>
                <w:lang w:val="en-US" w:eastAsia="zh-CN"/>
              </w:rPr>
            </w:pPr>
            <w:r>
              <w:rPr>
                <w:rFonts w:hint="eastAsia"/>
                <w:color w:val="auto"/>
                <w:lang w:val="en-US" w:eastAsia="zh-CN"/>
              </w:rPr>
              <w:t>综上所述，本项目采用超低氮燃烧技术后，氮氧化物排放量可满足低于30mg/m</w:t>
            </w:r>
            <w:r>
              <w:rPr>
                <w:rFonts w:hint="eastAsia"/>
                <w:color w:val="auto"/>
                <w:vertAlign w:val="superscript"/>
                <w:lang w:val="en-US" w:eastAsia="zh-CN"/>
              </w:rPr>
              <w:t>3</w:t>
            </w:r>
            <w:r>
              <w:rPr>
                <w:rFonts w:hint="eastAsia"/>
                <w:color w:val="auto"/>
                <w:lang w:val="en-US" w:eastAsia="zh-CN"/>
              </w:rPr>
              <w:t>的要求。</w:t>
            </w:r>
          </w:p>
          <w:p>
            <w:pPr>
              <w:pStyle w:val="60"/>
              <w:bidi w:val="0"/>
              <w:rPr>
                <w:rFonts w:hint="eastAsia"/>
                <w:color w:val="auto"/>
                <w:lang w:val="en-US" w:eastAsia="zh-CN"/>
              </w:rPr>
            </w:pPr>
            <w:r>
              <w:rPr>
                <w:rFonts w:hint="eastAsia"/>
                <w:b/>
                <w:bCs/>
                <w:color w:val="auto"/>
                <w:lang w:val="en-US" w:eastAsia="zh-CN"/>
              </w:rPr>
              <w:t>排气筒高度有效性分析：</w:t>
            </w:r>
            <w:r>
              <w:rPr>
                <w:rFonts w:hint="eastAsia"/>
                <w:b w:val="0"/>
                <w:bCs w:val="0"/>
                <w:color w:val="auto"/>
                <w:lang w:val="en-US" w:eastAsia="zh-CN"/>
              </w:rPr>
              <w:t>本</w:t>
            </w:r>
            <w:r>
              <w:rPr>
                <w:rFonts w:hint="eastAsia"/>
                <w:color w:val="auto"/>
                <w:lang w:val="en-US" w:eastAsia="zh-CN"/>
              </w:rPr>
              <w:t>项目安装总共4台锅炉，设置1个排放口，锅炉房排气筒设置不低于高出周围200m范围内最高建筑物3米的烟囱，本项目周边建筑物地上最高为23.5m，本次拟建锅炉房排气筒离地高度设置为26.5m，设置合理，满足《锅炉大气污染物排放标准》（GB13271-2014）中的锅炉排气筒高度设置要求。</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③食堂油烟废气</w:t>
            </w:r>
          </w:p>
          <w:p>
            <w:pPr>
              <w:keepNext/>
              <w:keepLines/>
              <w:pageBreakBefore w:val="0"/>
              <w:bidi w:val="0"/>
              <w:spacing w:line="360" w:lineRule="auto"/>
              <w:ind w:firstLine="482"/>
              <w:rPr>
                <w:rFonts w:hint="eastAsia" w:ascii="Times New Roman" w:hAnsi="Times New Roman" w:eastAsia="宋体" w:cs="Times New Roman"/>
                <w:b/>
                <w:bCs/>
                <w:color w:val="auto"/>
                <w:kern w:val="0"/>
                <w:sz w:val="24"/>
                <w:lang w:val="en-US" w:eastAsia="zh-CN"/>
              </w:rPr>
            </w:pPr>
            <w:r>
              <w:rPr>
                <w:rFonts w:ascii="Times New Roman" w:hAnsi="Times New Roman" w:eastAsia="宋体" w:cs="Times New Roman"/>
                <w:color w:val="auto"/>
                <w:sz w:val="24"/>
                <w:lang w:val="en-US" w:eastAsia="zh-CN" w:bidi="ar-SA"/>
              </w:rPr>
              <w:t>本项目油烟主要食堂油烟，</w:t>
            </w:r>
            <w:r>
              <w:rPr>
                <w:rFonts w:hint="default" w:ascii="Times New Roman" w:hAnsi="Times New Roman" w:eastAsia="宋体" w:cs="Times New Roman"/>
                <w:color w:val="auto"/>
                <w:sz w:val="24"/>
                <w:lang w:val="en-US" w:eastAsia="zh-CN" w:bidi="ar-SA"/>
              </w:rPr>
              <w:t xml:space="preserve">设 </w:t>
            </w:r>
            <w:r>
              <w:rPr>
                <w:rFonts w:hint="eastAsia" w:cs="Times New Roman"/>
                <w:color w:val="auto"/>
                <w:sz w:val="24"/>
                <w:lang w:val="en-US" w:eastAsia="zh-CN" w:bidi="ar-SA"/>
              </w:rPr>
              <w:t>21</w:t>
            </w:r>
            <w:r>
              <w:rPr>
                <w:rFonts w:hint="default" w:ascii="Times New Roman" w:hAnsi="Times New Roman" w:eastAsia="宋体" w:cs="Times New Roman"/>
                <w:color w:val="auto"/>
                <w:sz w:val="24"/>
                <w:lang w:val="en-US" w:eastAsia="zh-CN" w:bidi="ar-SA"/>
              </w:rPr>
              <w:t xml:space="preserve"> 个灶头，餐饮规模为大型，</w:t>
            </w:r>
            <w:r>
              <w:rPr>
                <w:rFonts w:hint="eastAsia" w:cs="Times New Roman"/>
                <w:color w:val="auto"/>
                <w:sz w:val="24"/>
                <w:lang w:val="en-US" w:eastAsia="zh-CN" w:bidi="ar-SA"/>
              </w:rPr>
              <w:t>师生总计3078</w:t>
            </w:r>
            <w:r>
              <w:rPr>
                <w:rFonts w:ascii="Times New Roman" w:hAnsi="Times New Roman" w:eastAsia="宋体" w:cs="Times New Roman"/>
                <w:color w:val="auto"/>
                <w:sz w:val="24"/>
                <w:lang w:val="en-US" w:eastAsia="zh-CN" w:bidi="ar-SA"/>
              </w:rPr>
              <w:t>人，本项目食用油消耗按</w:t>
            </w:r>
            <w:r>
              <w:rPr>
                <w:rFonts w:hint="eastAsia" w:ascii="Times New Roman" w:hAnsi="Times New Roman" w:eastAsia="宋体" w:cs="Times New Roman"/>
                <w:color w:val="auto"/>
                <w:sz w:val="24"/>
                <w:lang w:val="en-US" w:eastAsia="zh-CN" w:bidi="ar-SA"/>
              </w:rPr>
              <w:t>30</w:t>
            </w:r>
            <w:r>
              <w:rPr>
                <w:rFonts w:ascii="Times New Roman" w:hAnsi="Times New Roman" w:eastAsia="宋体" w:cs="Times New Roman"/>
                <w:color w:val="auto"/>
                <w:sz w:val="24"/>
                <w:lang w:val="en-US" w:eastAsia="zh-CN" w:bidi="ar-SA"/>
              </w:rPr>
              <w:t>g/人•d估算，则年消耗食用油</w:t>
            </w:r>
            <w:r>
              <w:rPr>
                <w:rFonts w:hint="eastAsia" w:ascii="Times New Roman" w:hAnsi="Times New Roman" w:eastAsia="宋体" w:cs="Times New Roman"/>
                <w:color w:val="auto"/>
                <w:sz w:val="24"/>
                <w:lang w:val="en-US" w:eastAsia="zh-CN" w:bidi="ar-SA"/>
              </w:rPr>
              <w:t>平均每天</w:t>
            </w:r>
            <w:r>
              <w:rPr>
                <w:rFonts w:ascii="Times New Roman" w:hAnsi="Times New Roman" w:eastAsia="宋体" w:cs="Times New Roman"/>
                <w:color w:val="auto"/>
                <w:sz w:val="24"/>
                <w:lang w:val="en-US" w:eastAsia="zh-CN" w:bidi="ar-SA"/>
              </w:rPr>
              <w:t>约</w:t>
            </w:r>
            <w:r>
              <w:rPr>
                <w:rFonts w:hint="eastAsia" w:cs="Times New Roman"/>
                <w:color w:val="auto"/>
                <w:sz w:val="24"/>
                <w:lang w:val="en-US" w:eastAsia="zh-CN" w:bidi="ar-SA"/>
              </w:rPr>
              <w:t>92</w:t>
            </w:r>
            <w:r>
              <w:rPr>
                <w:rFonts w:ascii="Times New Roman" w:hAnsi="Times New Roman" w:eastAsia="宋体" w:cs="Times New Roman"/>
                <w:color w:val="auto"/>
                <w:sz w:val="24"/>
                <w:lang w:val="en-US" w:eastAsia="zh-CN" w:bidi="ar-SA"/>
              </w:rPr>
              <w:t>kg/d。按油烟挥发量占总耗油量2.83%估算，日产生油烟量为</w:t>
            </w:r>
            <w:r>
              <w:rPr>
                <w:rFonts w:hint="eastAsia" w:cs="Times New Roman"/>
                <w:color w:val="auto"/>
                <w:sz w:val="24"/>
                <w:lang w:val="en-US" w:eastAsia="zh-CN" w:bidi="ar-SA"/>
              </w:rPr>
              <w:t>2.6</w:t>
            </w:r>
            <w:r>
              <w:rPr>
                <w:rFonts w:ascii="Times New Roman" w:hAnsi="Times New Roman" w:eastAsia="宋体" w:cs="Times New Roman"/>
                <w:color w:val="auto"/>
                <w:sz w:val="24"/>
                <w:lang w:val="en-US" w:eastAsia="zh-CN" w:bidi="ar-SA"/>
              </w:rPr>
              <w:t>kg/d，</w:t>
            </w:r>
            <w:r>
              <w:rPr>
                <w:rFonts w:hint="eastAsia" w:ascii="Times New Roman" w:hAnsi="Times New Roman" w:eastAsia="宋体" w:cs="Times New Roman"/>
                <w:color w:val="auto"/>
                <w:sz w:val="24"/>
                <w:lang w:val="en-US" w:eastAsia="zh-CN" w:bidi="ar-SA"/>
              </w:rPr>
              <w:t>0.</w:t>
            </w:r>
            <w:r>
              <w:rPr>
                <w:rFonts w:hint="eastAsia" w:cs="Times New Roman"/>
                <w:color w:val="auto"/>
                <w:sz w:val="24"/>
                <w:lang w:val="en-US" w:eastAsia="zh-CN" w:bidi="ar-SA"/>
              </w:rPr>
              <w:t>668</w:t>
            </w:r>
            <w:r>
              <w:rPr>
                <w:rFonts w:hint="eastAsia" w:ascii="Times New Roman" w:hAnsi="Times New Roman" w:eastAsia="宋体" w:cs="Times New Roman"/>
                <w:color w:val="auto"/>
                <w:sz w:val="24"/>
                <w:lang w:val="en-US" w:eastAsia="zh-CN" w:bidi="ar-SA"/>
              </w:rPr>
              <w:t>t</w:t>
            </w:r>
            <w:r>
              <w:rPr>
                <w:rFonts w:ascii="Times New Roman" w:hAnsi="Times New Roman" w:eastAsia="宋体" w:cs="Times New Roman"/>
                <w:color w:val="auto"/>
                <w:sz w:val="24"/>
                <w:lang w:val="en-US" w:eastAsia="zh-CN" w:bidi="ar-SA"/>
              </w:rPr>
              <w:t>/a，油烟净化器净化效率按</w:t>
            </w:r>
            <w:r>
              <w:rPr>
                <w:rFonts w:hint="eastAsia" w:ascii="Times New Roman" w:hAnsi="Times New Roman" w:eastAsia="宋体" w:cs="Times New Roman"/>
                <w:color w:val="auto"/>
                <w:sz w:val="24"/>
                <w:lang w:val="en-US" w:eastAsia="zh-CN" w:bidi="ar-SA"/>
              </w:rPr>
              <w:t>85</w:t>
            </w:r>
            <w:r>
              <w:rPr>
                <w:rFonts w:ascii="Times New Roman" w:hAnsi="Times New Roman" w:eastAsia="宋体" w:cs="Times New Roman"/>
                <w:color w:val="auto"/>
                <w:sz w:val="24"/>
                <w:lang w:val="en-US" w:eastAsia="zh-CN" w:bidi="ar-SA"/>
              </w:rPr>
              <w:t>%计算（食堂油烟净化器每天按照</w:t>
            </w:r>
            <w:r>
              <w:rPr>
                <w:rFonts w:hint="eastAsia" w:ascii="Times New Roman" w:hAnsi="Times New Roman" w:eastAsia="宋体" w:cs="Times New Roman"/>
                <w:color w:val="auto"/>
                <w:sz w:val="24"/>
                <w:lang w:val="en-US" w:eastAsia="zh-CN" w:bidi="ar-SA"/>
              </w:rPr>
              <w:t>6</w:t>
            </w:r>
            <w:r>
              <w:rPr>
                <w:rFonts w:ascii="Times New Roman" w:hAnsi="Times New Roman" w:eastAsia="宋体" w:cs="Times New Roman"/>
                <w:color w:val="auto"/>
                <w:sz w:val="24"/>
                <w:lang w:val="en-US" w:eastAsia="zh-CN" w:bidi="ar-SA"/>
              </w:rPr>
              <w:t>小时运营计算），则油烟经油烟净化器处理后排放</w:t>
            </w:r>
            <w:r>
              <w:rPr>
                <w:rFonts w:hint="eastAsia" w:cs="Times New Roman"/>
                <w:color w:val="auto"/>
                <w:sz w:val="24"/>
                <w:lang w:val="en-US" w:eastAsia="zh-CN" w:bidi="ar-SA"/>
              </w:rPr>
              <w:t>速率</w:t>
            </w:r>
            <w:r>
              <w:rPr>
                <w:rFonts w:ascii="Times New Roman" w:hAnsi="Times New Roman" w:eastAsia="宋体" w:cs="Times New Roman"/>
                <w:color w:val="auto"/>
                <w:sz w:val="24"/>
                <w:lang w:val="en-US" w:eastAsia="zh-CN" w:bidi="ar-SA"/>
              </w:rPr>
              <w:t>为0.</w:t>
            </w:r>
            <w:r>
              <w:rPr>
                <w:rFonts w:hint="eastAsia" w:cs="Times New Roman"/>
                <w:color w:val="auto"/>
                <w:sz w:val="24"/>
                <w:lang w:val="en-US" w:eastAsia="zh-CN" w:bidi="ar-SA"/>
              </w:rPr>
              <w:t>065</w:t>
            </w:r>
            <w:r>
              <w:rPr>
                <w:rFonts w:ascii="Times New Roman" w:hAnsi="Times New Roman" w:eastAsia="宋体" w:cs="Times New Roman"/>
                <w:color w:val="auto"/>
                <w:sz w:val="24"/>
                <w:lang w:val="en-US" w:eastAsia="zh-CN" w:bidi="ar-SA"/>
              </w:rPr>
              <w:t>kg/h，</w:t>
            </w:r>
            <w:r>
              <w:rPr>
                <w:rFonts w:hint="eastAsia" w:cs="Times New Roman"/>
                <w:color w:val="auto"/>
                <w:sz w:val="24"/>
                <w:lang w:val="en-US" w:eastAsia="zh-CN" w:bidi="ar-SA"/>
              </w:rPr>
              <w:t>排放量0.1</w:t>
            </w:r>
            <w:r>
              <w:rPr>
                <w:rFonts w:hint="eastAsia" w:ascii="Times New Roman" w:hAnsi="Times New Roman" w:eastAsia="宋体" w:cs="Times New Roman"/>
                <w:color w:val="auto"/>
                <w:sz w:val="24"/>
                <w:lang w:val="en-US" w:eastAsia="zh-CN" w:bidi="ar-SA"/>
              </w:rPr>
              <w:t>t</w:t>
            </w:r>
            <w:r>
              <w:rPr>
                <w:rFonts w:ascii="Times New Roman" w:hAnsi="Times New Roman" w:eastAsia="宋体" w:cs="Times New Roman"/>
                <w:color w:val="auto"/>
                <w:sz w:val="24"/>
                <w:lang w:val="en-US" w:eastAsia="zh-CN" w:bidi="ar-SA"/>
              </w:rPr>
              <w:t>/a，项目食堂设计风机风量为</w:t>
            </w:r>
            <w:r>
              <w:rPr>
                <w:rFonts w:hint="eastAsia" w:ascii="Times New Roman" w:hAnsi="Times New Roman" w:eastAsia="宋体" w:cs="Times New Roman"/>
                <w:color w:val="auto"/>
                <w:sz w:val="24"/>
                <w:lang w:val="en-US" w:eastAsia="zh-CN" w:bidi="ar-SA"/>
              </w:rPr>
              <w:t>40</w:t>
            </w:r>
            <w:r>
              <w:rPr>
                <w:rFonts w:ascii="Times New Roman" w:hAnsi="Times New Roman" w:eastAsia="宋体" w:cs="Times New Roman"/>
                <w:color w:val="auto"/>
                <w:sz w:val="24"/>
                <w:lang w:val="en-US" w:eastAsia="zh-CN" w:bidi="ar-SA"/>
              </w:rPr>
              <w:t>000m</w:t>
            </w:r>
            <w:r>
              <w:rPr>
                <w:rFonts w:ascii="Times New Roman" w:hAnsi="Times New Roman" w:eastAsia="宋体" w:cs="Times New Roman"/>
                <w:color w:val="auto"/>
                <w:sz w:val="24"/>
                <w:vertAlign w:val="superscript"/>
                <w:lang w:val="en-US" w:eastAsia="zh-CN" w:bidi="ar-SA"/>
              </w:rPr>
              <w:t>3</w:t>
            </w:r>
            <w:r>
              <w:rPr>
                <w:rFonts w:ascii="Times New Roman" w:hAnsi="Times New Roman" w:eastAsia="宋体" w:cs="Times New Roman"/>
                <w:color w:val="auto"/>
                <w:sz w:val="24"/>
                <w:lang w:val="en-US" w:eastAsia="zh-CN" w:bidi="ar-SA"/>
              </w:rPr>
              <w:t>/h，食堂油烟排放量</w:t>
            </w:r>
            <w:r>
              <w:rPr>
                <w:rFonts w:hint="eastAsia" w:cs="Times New Roman"/>
                <w:color w:val="auto"/>
                <w:sz w:val="24"/>
                <w:lang w:val="en-US" w:eastAsia="zh-CN" w:bidi="ar-SA"/>
              </w:rPr>
              <w:t>1.63</w:t>
            </w:r>
            <w:r>
              <w:rPr>
                <w:rFonts w:ascii="Times New Roman" w:hAnsi="Times New Roman" w:eastAsia="宋体" w:cs="Times New Roman"/>
                <w:color w:val="auto"/>
                <w:sz w:val="24"/>
                <w:lang w:val="en-US" w:eastAsia="zh-CN" w:bidi="ar-SA"/>
              </w:rPr>
              <w:t>mg/m</w:t>
            </w:r>
            <w:r>
              <w:rPr>
                <w:rFonts w:ascii="Times New Roman" w:hAnsi="Times New Roman" w:eastAsia="宋体" w:cs="Times New Roman"/>
                <w:color w:val="auto"/>
                <w:sz w:val="24"/>
                <w:vertAlign w:val="superscript"/>
                <w:lang w:val="en-US" w:eastAsia="zh-CN" w:bidi="ar-SA"/>
              </w:rPr>
              <w:t>3</w:t>
            </w:r>
            <w:r>
              <w:rPr>
                <w:rFonts w:ascii="Times New Roman" w:hAnsi="Times New Roman" w:eastAsia="宋体" w:cs="Times New Roman"/>
                <w:color w:val="auto"/>
                <w:sz w:val="24"/>
                <w:lang w:val="en-US" w:eastAsia="zh-CN" w:bidi="ar-SA"/>
              </w:rPr>
              <w:t>，能达到《饮食业油烟排放标准（试行）》（GB18483-2001）排放标准。</w:t>
            </w:r>
          </w:p>
          <w:p>
            <w:pPr>
              <w:keepNext/>
              <w:keepLines/>
              <w:wordWrap w:val="0"/>
              <w:topLinePunct/>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④汽车尾气</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本项目共建设机动车地上停车位</w:t>
            </w:r>
            <w:r>
              <w:rPr>
                <w:rFonts w:hint="eastAsia" w:cs="Times New Roman"/>
                <w:color w:val="auto"/>
                <w:sz w:val="24"/>
                <w:lang w:val="en-US" w:eastAsia="zh-CN" w:bidi="ar-SA"/>
              </w:rPr>
              <w:t>80</w:t>
            </w:r>
            <w:r>
              <w:rPr>
                <w:rFonts w:hint="eastAsia" w:ascii="Times New Roman" w:hAnsi="Times New Roman" w:eastAsia="宋体" w:cs="Times New Roman"/>
                <w:color w:val="auto"/>
                <w:sz w:val="24"/>
                <w:lang w:val="en-US" w:eastAsia="zh-CN" w:bidi="ar-SA"/>
              </w:rPr>
              <w:t xml:space="preserve"> 个。汽车在启动、停车等怠速、慢速情况下排放的汽车尾气浓度最高，主要污染物为 NOx、CO、碳氢化合物，排放方式为间歇、不定时排放，车种大多为小型车。由于为地上停车场，数量较少，校区内行驶过程中排放的汽车尾气能够迅速被环境空气稀释、扩散，对周边环境产生的影响较小。</w:t>
            </w:r>
            <w:r>
              <w:rPr>
                <w:rFonts w:hint="eastAsia" w:cs="Times New Roman"/>
                <w:color w:val="auto"/>
                <w:sz w:val="24"/>
                <w:lang w:val="en-US" w:eastAsia="zh-CN" w:bidi="ar-SA"/>
              </w:rPr>
              <w:t>本次构建地下车库（车位50个），设置机械排烟系统及补风系统，尾气经排气井引至地面排放，地上停车场周边通风状况较好，对周边环境影响较小。</w:t>
            </w:r>
          </w:p>
          <w:p>
            <w:pPr>
              <w:keepNext/>
              <w:keepLines/>
              <w:pageBreakBefore w:val="0"/>
              <w:widowControl w:val="0"/>
              <w:kinsoku/>
              <w:wordWrap/>
              <w:overflowPunct/>
              <w:topLinePunct w:val="0"/>
              <w:autoSpaceDE/>
              <w:autoSpaceDN/>
              <w:bidi w:val="0"/>
              <w:adjustRightInd/>
              <w:snapToGrid/>
              <w:spacing w:line="360" w:lineRule="auto"/>
              <w:ind w:firstLine="470" w:firstLineChars="196"/>
              <w:textAlignment w:val="auto"/>
              <w:rPr>
                <w:rFonts w:hint="default"/>
                <w:color w:val="auto"/>
                <w:sz w:val="24"/>
                <w:szCs w:val="24"/>
                <w:lang w:val="en-US" w:eastAsia="zh-CN"/>
              </w:rPr>
            </w:pPr>
            <w:r>
              <w:rPr>
                <w:rFonts w:hint="eastAsia" w:ascii="宋体" w:hAnsi="宋体" w:eastAsia="宋体" w:cs="宋体"/>
                <w:color w:val="auto"/>
                <w:sz w:val="24"/>
                <w:szCs w:val="24"/>
                <w:lang w:val="en-US" w:eastAsia="zh-CN"/>
              </w:rPr>
              <w:t>⑤</w:t>
            </w:r>
            <w:r>
              <w:rPr>
                <w:rFonts w:hint="eastAsia"/>
                <w:color w:val="auto"/>
                <w:sz w:val="24"/>
                <w:szCs w:val="24"/>
                <w:lang w:val="en-US" w:eastAsia="zh-CN"/>
              </w:rPr>
              <w:t>恶臭</w:t>
            </w:r>
          </w:p>
          <w:p>
            <w:pPr>
              <w:keepNext/>
              <w:keepLines/>
              <w:wordWrap w:val="0"/>
              <w:topLinePunct/>
              <w:spacing w:line="360" w:lineRule="auto"/>
              <w:ind w:firstLine="480" w:firstLineChars="200"/>
              <w:rPr>
                <w:rFonts w:hint="default" w:ascii="Times New Roman" w:hAnsi="Times New Roman" w:eastAsia="宋体" w:cs="Times New Roman"/>
                <w:color w:val="auto"/>
                <w:sz w:val="24"/>
                <w:lang w:val="en-US" w:eastAsia="zh-CN" w:bidi="ar-SA"/>
              </w:rPr>
            </w:pPr>
            <w:r>
              <w:rPr>
                <w:rFonts w:hint="eastAsia"/>
                <w:color w:val="auto"/>
                <w:sz w:val="24"/>
                <w:szCs w:val="24"/>
                <w:lang w:val="en-US" w:eastAsia="zh-CN"/>
              </w:rPr>
              <w:t>本项目设置垃圾房，学校教学楼、宿舍楼、食堂等位置设置垃圾收集桶，每天清运至垃圾房，然后统一交环卫部门处置。运营过程中会产生轻微恶臭气味，污染因子主要为臭气浓度，在校内无组织排放。根据项目可行性研究过报告设计，本项目垃圾收集点采用密闭式设计，垃圾投入是临时打开，此外，垃圾收集点垃圾定期由环卫部门垃圾车外运，在场区内停留时间短。因此，垃圾在临时存放、转运过程中产生的恶臭较小。为减小生活垃圾收集、暂存过程中产生的恶臭影响，垃圾收集点采取地面硬化、防雨淋和防扬尘措施，定期杀灭蚊蝇，保持垃圾收集区域清洁卫生，由清洁人员采取每天一次集中清扫垃圾，收集后及时交由环卫部门清运至城市垃圾填埋场处理，做到生活垃圾“日产日清”，可以有效的降低恶臭产生量，减轻对周边环境的不利影响。</w:t>
            </w:r>
          </w:p>
          <w:p>
            <w:pPr>
              <w:keepNext/>
              <w:keepLines/>
              <w:wordWrap w:val="0"/>
              <w:topLinePunct/>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本项目实施后各类废气排放情况具体见表4-</w:t>
            </w:r>
            <w:r>
              <w:rPr>
                <w:rFonts w:hint="eastAsia" w:cs="Times New Roman"/>
                <w:color w:val="auto"/>
                <w:sz w:val="24"/>
                <w:lang w:val="en-US" w:eastAsia="zh-CN" w:bidi="ar-SA"/>
              </w:rPr>
              <w:t>3</w:t>
            </w:r>
            <w:r>
              <w:rPr>
                <w:rFonts w:hint="eastAsia" w:ascii="Times New Roman" w:hAnsi="Times New Roman" w:eastAsia="宋体" w:cs="Times New Roman"/>
                <w:color w:val="auto"/>
                <w:sz w:val="24"/>
                <w:lang w:val="en-US" w:eastAsia="zh-CN" w:bidi="ar-SA"/>
              </w:rPr>
              <w:t>。</w:t>
            </w:r>
          </w:p>
          <w:p>
            <w:pPr>
              <w:keepNext/>
              <w:keepLines/>
              <w:spacing w:line="360" w:lineRule="auto"/>
              <w:jc w:val="center"/>
              <w:rPr>
                <w:rFonts w:hint="default" w:ascii="Times New Roman" w:hAnsi="Times New Roman" w:eastAsia="宋体" w:cs="Times New Roman"/>
                <w:b/>
                <w:color w:val="auto"/>
                <w:sz w:val="24"/>
                <w:szCs w:val="24"/>
                <w:lang w:val="en-US" w:eastAsia="zh-CN" w:bidi="ar-SA"/>
              </w:rPr>
            </w:pPr>
            <w:r>
              <w:rPr>
                <w:rFonts w:hint="default" w:ascii="Times New Roman" w:hAnsi="Times New Roman" w:eastAsia="宋体" w:cs="Times New Roman"/>
                <w:b/>
                <w:color w:val="auto"/>
                <w:sz w:val="24"/>
                <w:szCs w:val="24"/>
                <w:lang w:val="en-US" w:eastAsia="zh-CN" w:bidi="ar-SA"/>
              </w:rPr>
              <w:t>表4-</w:t>
            </w:r>
            <w:r>
              <w:rPr>
                <w:rFonts w:hint="eastAsia" w:cs="Times New Roman"/>
                <w:b/>
                <w:color w:val="auto"/>
                <w:sz w:val="24"/>
                <w:szCs w:val="24"/>
                <w:lang w:val="en-US" w:eastAsia="zh-CN" w:bidi="ar-SA"/>
              </w:rPr>
              <w:t>3</w:t>
            </w:r>
            <w:r>
              <w:rPr>
                <w:rFonts w:hint="default" w:ascii="Times New Roman" w:hAnsi="Times New Roman" w:eastAsia="宋体" w:cs="Times New Roman"/>
                <w:b/>
                <w:color w:val="auto"/>
                <w:sz w:val="24"/>
                <w:szCs w:val="24"/>
                <w:lang w:val="en-US" w:eastAsia="zh-CN" w:bidi="ar-SA"/>
              </w:rPr>
              <w:t xml:space="preserve">  废气排放一览表</w:t>
            </w:r>
          </w:p>
          <w:tbl>
            <w:tblPr>
              <w:tblStyle w:val="22"/>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2198"/>
              <w:gridCol w:w="810"/>
              <w:gridCol w:w="810"/>
              <w:gridCol w:w="825"/>
              <w:gridCol w:w="990"/>
              <w:gridCol w:w="11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131" w:type="dxa"/>
                  <w:vMerge w:val="restart"/>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污染物种类</w:t>
                  </w:r>
                </w:p>
              </w:tc>
              <w:tc>
                <w:tcPr>
                  <w:tcW w:w="2198" w:type="dxa"/>
                  <w:vMerge w:val="restart"/>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排放口</w:t>
                  </w:r>
                </w:p>
              </w:tc>
              <w:tc>
                <w:tcPr>
                  <w:tcW w:w="2445" w:type="dxa"/>
                  <w:gridSpan w:val="3"/>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排放情况</w:t>
                  </w:r>
                </w:p>
              </w:tc>
              <w:tc>
                <w:tcPr>
                  <w:tcW w:w="2143" w:type="dxa"/>
                  <w:gridSpan w:val="2"/>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31" w:type="dxa"/>
                  <w:vMerge w:val="continue"/>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p>
              </w:tc>
              <w:tc>
                <w:tcPr>
                  <w:tcW w:w="2198" w:type="dxa"/>
                  <w:vMerge w:val="continue"/>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p>
              </w:tc>
              <w:tc>
                <w:tcPr>
                  <w:tcW w:w="810" w:type="dxa"/>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排放量t/a</w:t>
                  </w:r>
                </w:p>
              </w:tc>
              <w:tc>
                <w:tcPr>
                  <w:tcW w:w="810" w:type="dxa"/>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排放速率Kg/h</w:t>
                  </w:r>
                </w:p>
              </w:tc>
              <w:tc>
                <w:tcPr>
                  <w:tcW w:w="825" w:type="dxa"/>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排放浓度mg/m</w:t>
                  </w:r>
                  <w:r>
                    <w:rPr>
                      <w:rFonts w:hint="eastAsia" w:ascii="Calibri" w:hAnsi="Calibri" w:eastAsia="宋体" w:cs="Times New Roman"/>
                      <w:b/>
                      <w:bCs/>
                      <w:color w:val="auto"/>
                      <w:sz w:val="21"/>
                      <w:vertAlign w:val="superscript"/>
                      <w:lang w:val="en-US" w:eastAsia="zh-CN" w:bidi="ar-SA"/>
                    </w:rPr>
                    <w:t>3</w:t>
                  </w:r>
                </w:p>
              </w:tc>
              <w:tc>
                <w:tcPr>
                  <w:tcW w:w="990" w:type="dxa"/>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治理设施工艺</w:t>
                  </w:r>
                </w:p>
              </w:tc>
              <w:tc>
                <w:tcPr>
                  <w:tcW w:w="1153" w:type="dxa"/>
                  <w:tcBorders>
                    <w:tl2br w:val="nil"/>
                    <w:tr2bl w:val="nil"/>
                  </w:tcBorders>
                  <w:vAlign w:val="center"/>
                </w:tcPr>
                <w:p>
                  <w:pPr>
                    <w:keepNext/>
                    <w:keepLines/>
                    <w:jc w:val="center"/>
                    <w:rPr>
                      <w:rFonts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是否为可行技术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31" w:type="dxa"/>
                  <w:vMerge w:val="restart"/>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cs="Times New Roman"/>
                      <w:b w:val="0"/>
                      <w:bCs w:val="0"/>
                      <w:color w:val="auto"/>
                      <w:sz w:val="21"/>
                      <w:lang w:val="en-US" w:eastAsia="zh-CN" w:bidi="ar-SA"/>
                    </w:rPr>
                    <w:t>非甲烷总烃</w:t>
                  </w:r>
                </w:p>
              </w:tc>
              <w:tc>
                <w:tcPr>
                  <w:tcW w:w="2198" w:type="dxa"/>
                  <w:vMerge w:val="restart"/>
                  <w:tcBorders>
                    <w:tl2br w:val="nil"/>
                    <w:tr2bl w:val="nil"/>
                  </w:tcBorders>
                  <w:vAlign w:val="center"/>
                </w:tcPr>
                <w:p>
                  <w:pPr>
                    <w:keepNext/>
                    <w:keepLines/>
                    <w:jc w:val="center"/>
                    <w:rPr>
                      <w:rFonts w:hint="eastAsia" w:ascii="Calibri" w:hAnsi="Calibri" w:eastAsia="宋体" w:cs="Times New Roman"/>
                      <w:b w:val="0"/>
                      <w:bCs w:val="0"/>
                      <w:color w:val="auto"/>
                      <w:sz w:val="21"/>
                      <w:lang w:val="en-US" w:eastAsia="zh-CN" w:bidi="ar-SA"/>
                    </w:rPr>
                  </w:pPr>
                  <w:r>
                    <w:rPr>
                      <w:rFonts w:ascii="Calibri" w:hAnsi="Calibri" w:eastAsia="宋体" w:cs="Times New Roman"/>
                      <w:b w:val="0"/>
                      <w:bCs w:val="0"/>
                      <w:color w:val="auto"/>
                      <w:sz w:val="21"/>
                      <w:lang w:val="en-US" w:eastAsia="zh-CN" w:bidi="ar-SA"/>
                    </w:rPr>
                    <w:t>1#教学楼</w:t>
                  </w:r>
                  <w:r>
                    <w:rPr>
                      <w:rFonts w:hint="eastAsia" w:ascii="Calibri" w:hAnsi="Calibri" w:eastAsia="宋体" w:cs="Times New Roman"/>
                      <w:b w:val="0"/>
                      <w:bCs w:val="0"/>
                      <w:color w:val="auto"/>
                      <w:sz w:val="21"/>
                      <w:lang w:val="en-US" w:eastAsia="zh-CN" w:bidi="ar-SA"/>
                    </w:rPr>
                    <w:t>排气口（P1排气筒）；</w:t>
                  </w:r>
                </w:p>
                <w:p>
                  <w:pPr>
                    <w:keepNext/>
                    <w:keepLines/>
                    <w:jc w:val="center"/>
                    <w:rPr>
                      <w:rFonts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2#教学楼排气口（P2排气筒）；</w:t>
                  </w:r>
                </w:p>
              </w:tc>
              <w:tc>
                <w:tcPr>
                  <w:tcW w:w="2445" w:type="dxa"/>
                  <w:gridSpan w:val="3"/>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少量</w:t>
                  </w:r>
                </w:p>
              </w:tc>
              <w:tc>
                <w:tcPr>
                  <w:tcW w:w="990" w:type="dxa"/>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cs="Times New Roman"/>
                      <w:b w:val="0"/>
                      <w:bCs w:val="0"/>
                      <w:color w:val="auto"/>
                      <w:sz w:val="21"/>
                      <w:lang w:val="en-US" w:eastAsia="zh-CN" w:bidi="ar-SA"/>
                    </w:rPr>
                    <w:t>加强通风</w:t>
                  </w:r>
                </w:p>
              </w:tc>
              <w:tc>
                <w:tcPr>
                  <w:tcW w:w="1153" w:type="dxa"/>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31" w:type="dxa"/>
                  <w:vMerge w:val="continue"/>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p>
              </w:tc>
              <w:tc>
                <w:tcPr>
                  <w:tcW w:w="2198" w:type="dxa"/>
                  <w:vMerge w:val="continue"/>
                  <w:tcBorders>
                    <w:tl2br w:val="nil"/>
                    <w:tr2bl w:val="nil"/>
                  </w:tcBorders>
                  <w:vAlign w:val="center"/>
                </w:tcPr>
                <w:p>
                  <w:pPr>
                    <w:keepNext/>
                    <w:keepLines/>
                    <w:jc w:val="center"/>
                    <w:rPr>
                      <w:rFonts w:ascii="Calibri" w:hAnsi="Calibri" w:eastAsia="宋体" w:cs="Times New Roman"/>
                      <w:b w:val="0"/>
                      <w:bCs w:val="0"/>
                      <w:color w:val="auto"/>
                      <w:sz w:val="21"/>
                      <w:lang w:val="en-US" w:eastAsia="zh-CN" w:bidi="ar-SA"/>
                    </w:rPr>
                  </w:pPr>
                </w:p>
              </w:tc>
              <w:tc>
                <w:tcPr>
                  <w:tcW w:w="2445" w:type="dxa"/>
                  <w:gridSpan w:val="3"/>
                  <w:tcBorders>
                    <w:tl2br w:val="nil"/>
                    <w:tr2bl w:val="nil"/>
                  </w:tcBorders>
                  <w:vAlign w:val="center"/>
                </w:tcPr>
                <w:p>
                  <w:pPr>
                    <w:keepNext/>
                    <w:keepLines/>
                    <w:jc w:val="center"/>
                    <w:rPr>
                      <w:rFonts w:hint="eastAsia"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少量</w:t>
                  </w:r>
                </w:p>
              </w:tc>
              <w:tc>
                <w:tcPr>
                  <w:tcW w:w="990" w:type="dxa"/>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加强通风</w:t>
                  </w:r>
                </w:p>
              </w:tc>
              <w:tc>
                <w:tcPr>
                  <w:tcW w:w="1153" w:type="dxa"/>
                  <w:tcBorders>
                    <w:tl2br w:val="nil"/>
                    <w:tr2bl w:val="nil"/>
                  </w:tcBorders>
                  <w:vAlign w:val="center"/>
                </w:tcPr>
                <w:p>
                  <w:pPr>
                    <w:keepNext/>
                    <w:keepLines/>
                    <w:jc w:val="center"/>
                    <w:rPr>
                      <w:rFonts w:hint="eastAsia"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131" w:type="dxa"/>
                  <w:tcBorders>
                    <w:tl2br w:val="nil"/>
                    <w:tr2bl w:val="nil"/>
                  </w:tcBorders>
                  <w:vAlign w:val="center"/>
                </w:tcPr>
                <w:p>
                  <w:pPr>
                    <w:keepNext/>
                    <w:keepLines/>
                    <w:jc w:val="center"/>
                    <w:rPr>
                      <w:rFonts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二氧化硫</w:t>
                  </w:r>
                </w:p>
              </w:tc>
              <w:tc>
                <w:tcPr>
                  <w:tcW w:w="2198" w:type="dxa"/>
                  <w:vMerge w:val="restart"/>
                  <w:tcBorders>
                    <w:tl2br w:val="nil"/>
                    <w:tr2bl w:val="nil"/>
                  </w:tcBorders>
                  <w:vAlign w:val="center"/>
                </w:tcPr>
                <w:p>
                  <w:pPr>
                    <w:keepNext/>
                    <w:keepLines/>
                    <w:jc w:val="center"/>
                    <w:rPr>
                      <w:rFonts w:ascii="Calibri" w:hAnsi="Calibri" w:eastAsia="宋体" w:cs="Times New Roman"/>
                      <w:b w:val="0"/>
                      <w:bCs w:val="0"/>
                      <w:color w:val="auto"/>
                      <w:sz w:val="21"/>
                      <w:lang w:val="en-US" w:eastAsia="zh-CN" w:bidi="ar-SA"/>
                    </w:rPr>
                  </w:pPr>
                  <w:r>
                    <w:rPr>
                      <w:rFonts w:hint="eastAsia" w:ascii="Times New Roman" w:hAnsi="Calibri" w:eastAsia="宋体" w:cs="Times New Roman"/>
                      <w:b w:val="0"/>
                      <w:bCs w:val="0"/>
                      <w:color w:val="auto"/>
                      <w:sz w:val="21"/>
                      <w:lang w:val="en-US" w:eastAsia="zh-CN" w:bidi="ar-SA"/>
                    </w:rPr>
                    <w:t>锅炉排气筒</w:t>
                  </w:r>
                </w:p>
              </w:tc>
              <w:tc>
                <w:tcPr>
                  <w:tcW w:w="810" w:type="dxa"/>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default" w:ascii="Calibri" w:hAnsi="Calibri" w:eastAsia="宋体" w:cs="Times New Roman"/>
                      <w:b w:val="0"/>
                      <w:bCs w:val="0"/>
                      <w:color w:val="auto"/>
                      <w:sz w:val="21"/>
                      <w:lang w:val="en-US" w:eastAsia="zh-CN" w:bidi="ar-SA"/>
                    </w:rPr>
                    <w:t>0.0</w:t>
                  </w:r>
                  <w:r>
                    <w:rPr>
                      <w:rFonts w:hint="eastAsia" w:ascii="Calibri" w:hAnsi="Calibri" w:cs="Times New Roman"/>
                      <w:b w:val="0"/>
                      <w:bCs w:val="0"/>
                      <w:color w:val="auto"/>
                      <w:sz w:val="21"/>
                      <w:lang w:val="en-US" w:eastAsia="zh-CN" w:bidi="ar-SA"/>
                    </w:rPr>
                    <w:t>38</w:t>
                  </w:r>
                </w:p>
              </w:tc>
              <w:tc>
                <w:tcPr>
                  <w:tcW w:w="810"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0.0285</w:t>
                  </w:r>
                </w:p>
              </w:tc>
              <w:tc>
                <w:tcPr>
                  <w:tcW w:w="825"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4.04</w:t>
                  </w:r>
                </w:p>
              </w:tc>
              <w:tc>
                <w:tcPr>
                  <w:tcW w:w="990" w:type="dxa"/>
                  <w:vMerge w:val="restart"/>
                  <w:tcBorders>
                    <w:tl2br w:val="nil"/>
                    <w:tr2bl w:val="nil"/>
                  </w:tcBorders>
                  <w:vAlign w:val="center"/>
                </w:tcPr>
                <w:p>
                  <w:pPr>
                    <w:keepNext/>
                    <w:keepLines/>
                    <w:jc w:val="center"/>
                    <w:rPr>
                      <w:rFonts w:hint="eastAsia"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超低氮燃烧器</w:t>
                  </w:r>
                </w:p>
              </w:tc>
              <w:tc>
                <w:tcPr>
                  <w:tcW w:w="1153" w:type="dxa"/>
                  <w:vMerge w:val="restart"/>
                  <w:tcBorders>
                    <w:tl2br w:val="nil"/>
                    <w:tr2bl w:val="nil"/>
                  </w:tcBorders>
                  <w:vAlign w:val="center"/>
                </w:tcPr>
                <w:p>
                  <w:pPr>
                    <w:keepNext/>
                    <w:keepLines/>
                    <w:jc w:val="center"/>
                    <w:rPr>
                      <w:rFonts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131" w:type="dxa"/>
                  <w:tcBorders>
                    <w:tl2br w:val="nil"/>
                    <w:tr2bl w:val="nil"/>
                  </w:tcBorders>
                  <w:vAlign w:val="center"/>
                </w:tcPr>
                <w:p>
                  <w:pPr>
                    <w:keepNext/>
                    <w:keepLines/>
                    <w:jc w:val="center"/>
                    <w:rPr>
                      <w:rFonts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颗粒物</w:t>
                  </w:r>
                </w:p>
              </w:tc>
              <w:tc>
                <w:tcPr>
                  <w:tcW w:w="2198" w:type="dxa"/>
                  <w:vMerge w:val="continue"/>
                  <w:tcBorders>
                    <w:tl2br w:val="nil"/>
                    <w:tr2bl w:val="nil"/>
                  </w:tcBorders>
                  <w:vAlign w:val="center"/>
                </w:tcPr>
                <w:p>
                  <w:pPr>
                    <w:keepNext/>
                    <w:keepLines/>
                    <w:jc w:val="center"/>
                    <w:rPr>
                      <w:rFonts w:ascii="Calibri" w:hAnsi="Calibri" w:eastAsia="宋体" w:cs="Times New Roman"/>
                      <w:b w:val="0"/>
                      <w:bCs w:val="0"/>
                      <w:color w:val="auto"/>
                      <w:sz w:val="21"/>
                      <w:lang w:val="en-US" w:eastAsia="zh-CN" w:bidi="ar-SA"/>
                    </w:rPr>
                  </w:pPr>
                </w:p>
              </w:tc>
              <w:tc>
                <w:tcPr>
                  <w:tcW w:w="810" w:type="dxa"/>
                  <w:tcBorders>
                    <w:tl2br w:val="nil"/>
                    <w:tr2bl w:val="nil"/>
                  </w:tcBorders>
                  <w:vAlign w:val="center"/>
                </w:tcPr>
                <w:p>
                  <w:pPr>
                    <w:keepNext/>
                    <w:keepLines/>
                    <w:jc w:val="center"/>
                    <w:rPr>
                      <w:rFonts w:hint="default" w:ascii="Calibri" w:hAnsi="Calibri" w:eastAsia="宋体" w:cs="Times New Roman"/>
                      <w:b w:val="0"/>
                      <w:bCs w:val="0"/>
                      <w:color w:val="auto"/>
                      <w:sz w:val="21"/>
                      <w:lang w:val="en-US" w:eastAsia="zh-CN" w:bidi="ar-SA"/>
                    </w:rPr>
                  </w:pPr>
                  <w:r>
                    <w:rPr>
                      <w:rFonts w:hint="eastAsia" w:ascii="Calibri" w:hAnsi="Calibri" w:eastAsia="宋体" w:cs="Times New Roman"/>
                      <w:b w:val="0"/>
                      <w:bCs w:val="0"/>
                      <w:color w:val="auto"/>
                      <w:sz w:val="21"/>
                      <w:lang w:val="en-US" w:eastAsia="zh-CN" w:bidi="ar-SA"/>
                    </w:rPr>
                    <w:t>0.</w:t>
                  </w:r>
                  <w:r>
                    <w:rPr>
                      <w:rFonts w:hint="eastAsia" w:ascii="Calibri" w:hAnsi="Calibri" w:cs="Times New Roman"/>
                      <w:b w:val="0"/>
                      <w:bCs w:val="0"/>
                      <w:color w:val="auto"/>
                      <w:sz w:val="21"/>
                      <w:lang w:val="en-US" w:eastAsia="zh-CN" w:bidi="ar-SA"/>
                    </w:rPr>
                    <w:t>115</w:t>
                  </w:r>
                </w:p>
              </w:tc>
              <w:tc>
                <w:tcPr>
                  <w:tcW w:w="810"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0.116</w:t>
                  </w:r>
                </w:p>
              </w:tc>
              <w:tc>
                <w:tcPr>
                  <w:tcW w:w="825"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12.14</w:t>
                  </w:r>
                </w:p>
              </w:tc>
              <w:tc>
                <w:tcPr>
                  <w:tcW w:w="990" w:type="dxa"/>
                  <w:vMerge w:val="continue"/>
                  <w:tcBorders>
                    <w:tl2br w:val="nil"/>
                    <w:tr2bl w:val="nil"/>
                  </w:tcBorders>
                  <w:vAlign w:val="center"/>
                </w:tcPr>
                <w:p>
                  <w:pPr>
                    <w:keepNext/>
                    <w:keepLines/>
                    <w:jc w:val="center"/>
                    <w:rPr>
                      <w:rFonts w:ascii="Calibri" w:hAnsi="Calibri" w:eastAsia="宋体" w:cs="Times New Roman"/>
                      <w:color w:val="auto"/>
                      <w:sz w:val="21"/>
                      <w:lang w:val="en-US" w:eastAsia="zh-CN" w:bidi="ar-SA"/>
                    </w:rPr>
                  </w:pPr>
                </w:p>
              </w:tc>
              <w:tc>
                <w:tcPr>
                  <w:tcW w:w="1153" w:type="dxa"/>
                  <w:vMerge w:val="continue"/>
                  <w:tcBorders>
                    <w:tl2br w:val="nil"/>
                    <w:tr2bl w:val="nil"/>
                  </w:tcBorders>
                  <w:vAlign w:val="center"/>
                </w:tcPr>
                <w:p>
                  <w:pPr>
                    <w:keepNext/>
                    <w:keepLines/>
                    <w:jc w:val="center"/>
                    <w:rPr>
                      <w:rFonts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131" w:type="dxa"/>
                  <w:tcBorders>
                    <w:tl2br w:val="nil"/>
                    <w:tr2bl w:val="nil"/>
                  </w:tcBorders>
                  <w:vAlign w:val="center"/>
                </w:tcPr>
                <w:p>
                  <w:pPr>
                    <w:keepNext/>
                    <w:keepLines/>
                    <w:jc w:val="center"/>
                    <w:rPr>
                      <w:rFonts w:ascii="Calibri" w:hAnsi="Calibri" w:eastAsia="宋体" w:cs="Times New Roman"/>
                      <w:color w:val="auto"/>
                      <w:sz w:val="21"/>
                      <w:lang w:val="en-US" w:eastAsia="zh-CN" w:bidi="ar-SA"/>
                    </w:rPr>
                  </w:pPr>
                  <w:r>
                    <w:rPr>
                      <w:rFonts w:hint="eastAsia" w:ascii="Times New Roman" w:hAnsi="Calibri" w:eastAsia="宋体" w:cs="Times New Roman"/>
                      <w:color w:val="auto"/>
                      <w:sz w:val="21"/>
                      <w:lang w:val="en-US" w:eastAsia="zh-CN" w:bidi="ar-SA"/>
                    </w:rPr>
                    <w:t>氮氧化物</w:t>
                  </w:r>
                </w:p>
              </w:tc>
              <w:tc>
                <w:tcPr>
                  <w:tcW w:w="2198" w:type="dxa"/>
                  <w:vMerge w:val="continue"/>
                  <w:tcBorders>
                    <w:tl2br w:val="nil"/>
                    <w:tr2bl w:val="nil"/>
                  </w:tcBorders>
                  <w:vAlign w:val="center"/>
                </w:tcPr>
                <w:p>
                  <w:pPr>
                    <w:keepNext/>
                    <w:keepLines/>
                    <w:jc w:val="center"/>
                    <w:rPr>
                      <w:rFonts w:ascii="Calibri" w:hAnsi="Calibri" w:eastAsia="宋体" w:cs="Times New Roman"/>
                      <w:color w:val="auto"/>
                      <w:sz w:val="21"/>
                      <w:lang w:val="en-US" w:eastAsia="zh-CN" w:bidi="ar-SA"/>
                    </w:rPr>
                  </w:pPr>
                </w:p>
              </w:tc>
              <w:tc>
                <w:tcPr>
                  <w:tcW w:w="810"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0.267</w:t>
                  </w:r>
                </w:p>
              </w:tc>
              <w:tc>
                <w:tcPr>
                  <w:tcW w:w="810"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0.27</w:t>
                  </w:r>
                </w:p>
              </w:tc>
              <w:tc>
                <w:tcPr>
                  <w:tcW w:w="825"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28.38</w:t>
                  </w:r>
                </w:p>
              </w:tc>
              <w:tc>
                <w:tcPr>
                  <w:tcW w:w="990" w:type="dxa"/>
                  <w:vMerge w:val="continue"/>
                  <w:tcBorders>
                    <w:tl2br w:val="nil"/>
                    <w:tr2bl w:val="nil"/>
                  </w:tcBorders>
                  <w:vAlign w:val="center"/>
                </w:tcPr>
                <w:p>
                  <w:pPr>
                    <w:keepNext/>
                    <w:keepLines/>
                    <w:jc w:val="center"/>
                    <w:rPr>
                      <w:rFonts w:ascii="Calibri" w:hAnsi="Calibri" w:eastAsia="宋体" w:cs="Times New Roman"/>
                      <w:color w:val="auto"/>
                      <w:sz w:val="21"/>
                      <w:lang w:val="en-US" w:eastAsia="zh-CN" w:bidi="ar-SA"/>
                    </w:rPr>
                  </w:pPr>
                </w:p>
              </w:tc>
              <w:tc>
                <w:tcPr>
                  <w:tcW w:w="1153" w:type="dxa"/>
                  <w:vMerge w:val="continue"/>
                  <w:tcBorders>
                    <w:tl2br w:val="nil"/>
                    <w:tr2bl w:val="nil"/>
                  </w:tcBorders>
                  <w:vAlign w:val="center"/>
                </w:tcPr>
                <w:p>
                  <w:pPr>
                    <w:keepNext/>
                    <w:keepLines/>
                    <w:jc w:val="center"/>
                    <w:rPr>
                      <w:rFonts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131" w:type="dxa"/>
                  <w:tcBorders>
                    <w:tl2br w:val="nil"/>
                    <w:tr2bl w:val="nil"/>
                  </w:tcBorders>
                  <w:vAlign w:val="center"/>
                </w:tcPr>
                <w:p>
                  <w:pPr>
                    <w:keepNext/>
                    <w:keepLines/>
                    <w:jc w:val="center"/>
                    <w:rPr>
                      <w:rFonts w:ascii="Times New Roman" w:hAnsi="Calibri" w:eastAsia="宋体" w:cs="Times New Roman"/>
                      <w:color w:val="auto"/>
                      <w:sz w:val="21"/>
                      <w:lang w:val="en-US" w:eastAsia="zh-CN" w:bidi="ar-SA"/>
                    </w:rPr>
                  </w:pPr>
                  <w:r>
                    <w:rPr>
                      <w:rFonts w:hint="eastAsia" w:ascii="Times New Roman" w:hAnsi="Calibri" w:eastAsia="宋体" w:cs="Times New Roman"/>
                      <w:color w:val="auto"/>
                      <w:sz w:val="21"/>
                      <w:lang w:val="en-US" w:eastAsia="zh-CN" w:bidi="ar-SA"/>
                    </w:rPr>
                    <w:t>油烟</w:t>
                  </w:r>
                </w:p>
              </w:tc>
              <w:tc>
                <w:tcPr>
                  <w:tcW w:w="2198" w:type="dxa"/>
                  <w:tcBorders>
                    <w:tl2br w:val="nil"/>
                    <w:tr2bl w:val="nil"/>
                  </w:tcBorders>
                  <w:vAlign w:val="center"/>
                </w:tcPr>
                <w:p>
                  <w:pPr>
                    <w:keepNext/>
                    <w:keepLines/>
                    <w:jc w:val="center"/>
                    <w:rPr>
                      <w:rFonts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食堂油烟排气筒</w:t>
                  </w:r>
                </w:p>
              </w:tc>
              <w:tc>
                <w:tcPr>
                  <w:tcW w:w="810" w:type="dxa"/>
                  <w:tcBorders>
                    <w:tl2br w:val="nil"/>
                    <w:tr2bl w:val="nil"/>
                  </w:tcBorders>
                  <w:vAlign w:val="center"/>
                </w:tcPr>
                <w:p>
                  <w:pPr>
                    <w:keepNext/>
                    <w:keepLines/>
                    <w:jc w:val="center"/>
                    <w:rPr>
                      <w:rFonts w:hint="default" w:ascii="Times New Roman" w:hAnsi="Calibri" w:eastAsia="宋体" w:cs="Times New Roman"/>
                      <w:color w:val="auto"/>
                      <w:sz w:val="21"/>
                      <w:lang w:val="en-US" w:eastAsia="zh-CN" w:bidi="ar-SA"/>
                    </w:rPr>
                  </w:pPr>
                  <w:r>
                    <w:rPr>
                      <w:rFonts w:hint="eastAsia" w:hAnsi="Calibri" w:cs="Times New Roman"/>
                      <w:color w:val="auto"/>
                      <w:sz w:val="21"/>
                      <w:lang w:val="en-US" w:eastAsia="zh-CN" w:bidi="ar-SA"/>
                    </w:rPr>
                    <w:t>0.1</w:t>
                  </w:r>
                </w:p>
              </w:tc>
              <w:tc>
                <w:tcPr>
                  <w:tcW w:w="810" w:type="dxa"/>
                  <w:tcBorders>
                    <w:tl2br w:val="nil"/>
                    <w:tr2bl w:val="nil"/>
                  </w:tcBorders>
                  <w:vAlign w:val="center"/>
                </w:tcPr>
                <w:p>
                  <w:pPr>
                    <w:keepNext/>
                    <w:keepLines/>
                    <w:jc w:val="center"/>
                    <w:rPr>
                      <w:rFonts w:hint="default" w:ascii="Times New Roman" w:hAnsi="Calibri" w:eastAsia="宋体" w:cs="Times New Roman"/>
                      <w:color w:val="auto"/>
                      <w:sz w:val="21"/>
                      <w:lang w:val="en-US" w:eastAsia="zh-CN" w:bidi="ar-SA"/>
                    </w:rPr>
                  </w:pPr>
                  <w:r>
                    <w:rPr>
                      <w:rFonts w:hint="eastAsia" w:hAnsi="Calibri" w:cs="Times New Roman"/>
                      <w:color w:val="auto"/>
                      <w:sz w:val="21"/>
                      <w:lang w:val="en-US" w:eastAsia="zh-CN" w:bidi="ar-SA"/>
                    </w:rPr>
                    <w:t>0.065</w:t>
                  </w:r>
                </w:p>
              </w:tc>
              <w:tc>
                <w:tcPr>
                  <w:tcW w:w="825" w:type="dxa"/>
                  <w:tcBorders>
                    <w:tl2br w:val="nil"/>
                    <w:tr2bl w:val="nil"/>
                  </w:tcBorders>
                  <w:vAlign w:val="center"/>
                </w:tcPr>
                <w:p>
                  <w:pPr>
                    <w:keepNext/>
                    <w:keepLines/>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1.63</w:t>
                  </w:r>
                </w:p>
              </w:tc>
              <w:tc>
                <w:tcPr>
                  <w:tcW w:w="990" w:type="dxa"/>
                  <w:tcBorders>
                    <w:tl2br w:val="nil"/>
                    <w:tr2bl w:val="nil"/>
                  </w:tcBorders>
                  <w:vAlign w:val="center"/>
                </w:tcPr>
                <w:p>
                  <w:pPr>
                    <w:keepNext/>
                    <w:keepLines/>
                    <w:jc w:val="both"/>
                    <w:rPr>
                      <w:rFonts w:hint="eastAsia"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油烟净化器（处理效率不小于85%）</w:t>
                  </w:r>
                </w:p>
              </w:tc>
              <w:tc>
                <w:tcPr>
                  <w:tcW w:w="1153" w:type="dxa"/>
                  <w:tcBorders>
                    <w:tl2br w:val="nil"/>
                    <w:tr2bl w:val="nil"/>
                  </w:tcBorders>
                  <w:vAlign w:val="center"/>
                </w:tcPr>
                <w:p>
                  <w:pPr>
                    <w:keepNext/>
                    <w:keepLines/>
                    <w:jc w:val="center"/>
                    <w:rPr>
                      <w:rFonts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是</w:t>
                  </w:r>
                </w:p>
              </w:tc>
            </w:tr>
          </w:tbl>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cs="Times New Roman"/>
                <w:b/>
                <w:bCs/>
                <w:color w:val="auto"/>
                <w:kern w:val="0"/>
                <w:sz w:val="24"/>
                <w:lang w:val="en-US" w:eastAsia="zh-CN"/>
              </w:rPr>
              <w:t>二、</w:t>
            </w:r>
            <w:r>
              <w:rPr>
                <w:rFonts w:hint="eastAsia" w:ascii="Times New Roman" w:hAnsi="Times New Roman" w:eastAsia="宋体" w:cs="Times New Roman"/>
                <w:b/>
                <w:bCs/>
                <w:color w:val="auto"/>
                <w:kern w:val="0"/>
                <w:sz w:val="24"/>
                <w:lang w:val="en-US" w:eastAsia="zh-CN"/>
              </w:rPr>
              <w:t xml:space="preserve">水环境影响和保护措施 </w:t>
            </w:r>
            <w:r>
              <w:rPr>
                <w:rFonts w:hint="eastAsia" w:ascii="Times New Roman" w:hAnsi="Times New Roman" w:eastAsia="宋体" w:cs="Times New Roman"/>
                <w:color w:val="auto"/>
                <w:kern w:val="0"/>
                <w:sz w:val="24"/>
                <w:lang w:val="en-US" w:eastAsia="zh-CN"/>
              </w:rPr>
              <w:t xml:space="preserve"> </w:t>
            </w:r>
          </w:p>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 xml:space="preserve">（1）源强计算 </w:t>
            </w:r>
          </w:p>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 xml:space="preserve">本项目废水主要是生活污水与实验废水。 </w:t>
            </w:r>
          </w:p>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生活</w:t>
            </w:r>
            <w:r>
              <w:rPr>
                <w:rFonts w:hint="eastAsia" w:cs="Times New Roman"/>
                <w:color w:val="auto"/>
                <w:kern w:val="0"/>
                <w:sz w:val="24"/>
                <w:lang w:val="en-US" w:eastAsia="zh-CN"/>
              </w:rPr>
              <w:t>污水</w:t>
            </w:r>
            <w:r>
              <w:rPr>
                <w:rFonts w:hint="eastAsia" w:ascii="Times New Roman" w:hAnsi="Times New Roman" w:eastAsia="宋体" w:cs="Times New Roman"/>
                <w:color w:val="auto"/>
                <w:kern w:val="0"/>
                <w:sz w:val="24"/>
                <w:lang w:val="en-US" w:eastAsia="zh-CN"/>
              </w:rPr>
              <w:t>排放量为</w:t>
            </w:r>
            <w:r>
              <w:rPr>
                <w:rFonts w:hint="eastAsia" w:cs="Times New Roman"/>
                <w:bCs/>
                <w:color w:val="auto"/>
                <w:sz w:val="24"/>
                <w:lang w:val="en-US" w:eastAsia="zh-CN"/>
              </w:rPr>
              <w:t>64022.4</w:t>
            </w:r>
            <w:r>
              <w:rPr>
                <w:rFonts w:hint="eastAsia" w:cs="Times New Roman"/>
                <w:color w:val="auto"/>
                <w:kern w:val="0"/>
                <w:sz w:val="24"/>
                <w:lang w:val="en-US" w:eastAsia="zh-CN"/>
              </w:rPr>
              <w:t>t</w:t>
            </w:r>
            <w:r>
              <w:rPr>
                <w:rFonts w:hint="eastAsia" w:ascii="Times New Roman" w:hAnsi="Times New Roman" w:eastAsia="宋体" w:cs="Times New Roman"/>
                <w:color w:val="auto"/>
                <w:kern w:val="0"/>
                <w:sz w:val="24"/>
                <w:lang w:val="en-US" w:eastAsia="zh-CN"/>
              </w:rPr>
              <w:t>/a。项目生活污水经隔油池</w:t>
            </w:r>
            <w:r>
              <w:rPr>
                <w:rFonts w:hint="eastAsia" w:cs="Times New Roman"/>
                <w:color w:val="auto"/>
                <w:kern w:val="0"/>
                <w:sz w:val="24"/>
                <w:lang w:val="en-US" w:eastAsia="zh-CN"/>
              </w:rPr>
              <w:t>+</w:t>
            </w:r>
            <w:r>
              <w:rPr>
                <w:rFonts w:hint="eastAsia" w:ascii="Times New Roman" w:hAnsi="Times New Roman" w:eastAsia="宋体" w:cs="Times New Roman"/>
                <w:color w:val="auto"/>
                <w:kern w:val="0"/>
                <w:sz w:val="24"/>
                <w:lang w:val="en-US" w:eastAsia="zh-CN"/>
              </w:rPr>
              <w:t>化粪池预处理后排入</w:t>
            </w:r>
            <w:r>
              <w:rPr>
                <w:rFonts w:hint="eastAsia" w:cs="Times New Roman"/>
                <w:color w:val="auto"/>
                <w:kern w:val="0"/>
                <w:sz w:val="24"/>
                <w:lang w:val="en-US" w:eastAsia="zh-CN"/>
              </w:rPr>
              <w:t>市政</w:t>
            </w:r>
            <w:r>
              <w:rPr>
                <w:rFonts w:hint="eastAsia" w:ascii="Times New Roman" w:hAnsi="Times New Roman" w:eastAsia="宋体" w:cs="Times New Roman"/>
                <w:color w:val="auto"/>
                <w:kern w:val="0"/>
                <w:sz w:val="24"/>
                <w:lang w:val="en-US" w:eastAsia="zh-CN"/>
              </w:rPr>
              <w:t>管网，最终进入</w:t>
            </w:r>
            <w:r>
              <w:rPr>
                <w:rFonts w:hint="eastAsia" w:cs="Times New Roman"/>
                <w:color w:val="auto"/>
                <w:kern w:val="0"/>
                <w:sz w:val="24"/>
                <w:lang w:val="en-US" w:eastAsia="zh-CN"/>
              </w:rPr>
              <w:t>乐都区</w:t>
            </w:r>
            <w:r>
              <w:rPr>
                <w:rFonts w:hint="eastAsia" w:ascii="Times New Roman" w:hAnsi="Times New Roman" w:eastAsia="宋体" w:cs="Times New Roman"/>
                <w:color w:val="auto"/>
                <w:kern w:val="0"/>
                <w:sz w:val="24"/>
                <w:lang w:val="en-US" w:eastAsia="zh-CN"/>
              </w:rPr>
              <w:t>污水处理厂深度处理。</w:t>
            </w:r>
          </w:p>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实验室废水主要是试验反应器皿的清洗废水，</w:t>
            </w:r>
            <w:r>
              <w:rPr>
                <w:rFonts w:hint="eastAsia" w:cs="Times New Roman"/>
                <w:color w:val="auto"/>
                <w:kern w:val="0"/>
                <w:sz w:val="24"/>
                <w:lang w:val="en-US" w:eastAsia="zh-CN"/>
              </w:rPr>
              <w:t>产生量约180t/a，</w:t>
            </w:r>
            <w:r>
              <w:rPr>
                <w:rFonts w:hint="eastAsia" w:ascii="Times New Roman" w:hAnsi="Times New Roman" w:eastAsia="宋体" w:cs="Times New Roman"/>
                <w:color w:val="auto"/>
                <w:kern w:val="0"/>
                <w:sz w:val="24"/>
                <w:lang w:val="en-US" w:eastAsia="zh-CN"/>
              </w:rPr>
              <w:t>其中污染物浓度类比其他同类普通高级中学项目试验废水中的各污染物浓度，各污染物pH、COD、SS的浓度分别约为4～12、300mg/L、200mg/L</w:t>
            </w:r>
            <w:r>
              <w:rPr>
                <w:rFonts w:hint="eastAsia" w:cs="Times New Roman"/>
                <w:color w:val="auto"/>
                <w:kern w:val="0"/>
                <w:sz w:val="24"/>
                <w:lang w:val="en-US" w:eastAsia="zh-CN"/>
              </w:rPr>
              <w:t>，</w:t>
            </w:r>
            <w:r>
              <w:rPr>
                <w:rFonts w:hint="eastAsia" w:ascii="Times New Roman" w:hAnsi="Times New Roman" w:eastAsia="宋体" w:cs="Times New Roman"/>
                <w:color w:val="auto"/>
                <w:kern w:val="0"/>
                <w:sz w:val="24"/>
                <w:lang w:val="en-US" w:eastAsia="zh-CN"/>
              </w:rPr>
              <w:t>经过实验室废水处理装置处理后和生活污水排入新建化粪池收集处理后，排入市政污水管网，进入</w:t>
            </w:r>
            <w:r>
              <w:rPr>
                <w:rFonts w:hint="eastAsia" w:cs="Times New Roman"/>
                <w:color w:val="auto"/>
                <w:kern w:val="0"/>
                <w:sz w:val="24"/>
                <w:lang w:val="en-US" w:eastAsia="zh-CN"/>
              </w:rPr>
              <w:t>乐都区污水处理厂</w:t>
            </w:r>
            <w:r>
              <w:rPr>
                <w:rFonts w:hint="eastAsia" w:ascii="Times New Roman" w:hAnsi="Times New Roman" w:eastAsia="宋体" w:cs="Times New Roman"/>
                <w:color w:val="auto"/>
                <w:kern w:val="0"/>
                <w:sz w:val="24"/>
                <w:lang w:val="en-US" w:eastAsia="zh-CN"/>
              </w:rPr>
              <w:t>集中处置</w:t>
            </w:r>
            <w:r>
              <w:rPr>
                <w:rFonts w:hint="eastAsia" w:cs="Times New Roman"/>
                <w:color w:val="auto"/>
                <w:kern w:val="0"/>
                <w:sz w:val="24"/>
                <w:lang w:val="en-US" w:eastAsia="zh-CN"/>
              </w:rPr>
              <w:t>。</w:t>
            </w:r>
          </w:p>
          <w:p>
            <w:pPr>
              <w:keepNext/>
              <w:keepLines/>
              <w:pageBreakBefore w:val="0"/>
              <w:bidi w:val="0"/>
              <w:spacing w:line="360" w:lineRule="auto"/>
              <w:ind w:firstLine="482"/>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锅炉房废水：锅炉采用定期排污方式，产生量约为</w:t>
            </w:r>
            <w:r>
              <w:rPr>
                <w:rFonts w:hint="eastAsia" w:cs="Times New Roman"/>
                <w:color w:val="auto"/>
                <w:kern w:val="0"/>
                <w:sz w:val="24"/>
                <w:lang w:val="en-US" w:eastAsia="zh-CN"/>
              </w:rPr>
              <w:t>347.3</w:t>
            </w:r>
            <w:r>
              <w:rPr>
                <w:rFonts w:hint="eastAsia" w:ascii="Times New Roman" w:hAnsi="Times New Roman" w:eastAsia="宋体" w:cs="Times New Roman"/>
                <w:color w:val="auto"/>
                <w:kern w:val="0"/>
                <w:sz w:val="24"/>
                <w:lang w:val="en-US" w:eastAsia="zh-CN"/>
              </w:rPr>
              <w:t>t/a。软水制备系统产生的离子交换树脂反冲洗</w:t>
            </w:r>
            <w:r>
              <w:rPr>
                <w:rFonts w:hint="eastAsia" w:cs="Times New Roman"/>
                <w:color w:val="auto"/>
                <w:kern w:val="0"/>
                <w:sz w:val="24"/>
                <w:lang w:val="en-US" w:eastAsia="zh-CN"/>
              </w:rPr>
              <w:t>废</w:t>
            </w:r>
            <w:r>
              <w:rPr>
                <w:rFonts w:hint="eastAsia" w:ascii="Times New Roman" w:hAnsi="Times New Roman" w:eastAsia="宋体" w:cs="Times New Roman"/>
                <w:color w:val="auto"/>
                <w:kern w:val="0"/>
                <w:sz w:val="24"/>
                <w:lang w:val="en-US" w:eastAsia="zh-CN"/>
              </w:rPr>
              <w:t>水量约为</w:t>
            </w:r>
            <w:r>
              <w:rPr>
                <w:rFonts w:hint="eastAsia" w:cs="Times New Roman"/>
                <w:color w:val="auto"/>
                <w:kern w:val="0"/>
                <w:sz w:val="24"/>
                <w:lang w:val="en-US" w:eastAsia="zh-CN"/>
              </w:rPr>
              <w:t>2890.74</w:t>
            </w:r>
            <w:r>
              <w:rPr>
                <w:rFonts w:hint="eastAsia" w:ascii="Times New Roman" w:hAnsi="Times New Roman" w:eastAsia="宋体" w:cs="Times New Roman"/>
                <w:color w:val="auto"/>
                <w:kern w:val="0"/>
                <w:sz w:val="24"/>
                <w:lang w:val="en-US" w:eastAsia="zh-CN"/>
              </w:rPr>
              <w:t>t/a，锅炉房产生的废水均为清净</w:t>
            </w:r>
            <w:r>
              <w:rPr>
                <w:rFonts w:hint="eastAsia" w:cs="Times New Roman"/>
                <w:color w:val="auto"/>
                <w:kern w:val="0"/>
                <w:sz w:val="24"/>
                <w:lang w:val="en-US" w:eastAsia="zh-CN"/>
              </w:rPr>
              <w:t>下水</w:t>
            </w:r>
            <w:r>
              <w:rPr>
                <w:rFonts w:hint="eastAsia" w:ascii="Times New Roman" w:hAnsi="Times New Roman" w:eastAsia="宋体" w:cs="Times New Roman"/>
                <w:color w:val="auto"/>
                <w:kern w:val="0"/>
                <w:sz w:val="24"/>
                <w:lang w:val="en-US" w:eastAsia="zh-CN"/>
              </w:rPr>
              <w:t>，</w:t>
            </w:r>
            <w:r>
              <w:rPr>
                <w:rFonts w:hint="eastAsia" w:cs="Times New Roman"/>
                <w:color w:val="auto"/>
                <w:kern w:val="0"/>
                <w:sz w:val="24"/>
                <w:lang w:val="en-US" w:eastAsia="zh-CN"/>
              </w:rPr>
              <w:t>水质较为简单，污染物浓度较低，</w:t>
            </w:r>
            <w:r>
              <w:rPr>
                <w:rFonts w:hint="eastAsia" w:ascii="Times New Roman" w:hAnsi="Times New Roman" w:eastAsia="宋体" w:cs="Times New Roman"/>
                <w:color w:val="auto"/>
                <w:kern w:val="0"/>
                <w:sz w:val="24"/>
                <w:lang w:val="en-US" w:eastAsia="zh-CN"/>
              </w:rPr>
              <w:t>可直接排入</w:t>
            </w:r>
            <w:r>
              <w:rPr>
                <w:rFonts w:hint="eastAsia" w:cs="Times New Roman"/>
                <w:color w:val="auto"/>
                <w:kern w:val="0"/>
                <w:sz w:val="24"/>
                <w:lang w:val="en-US" w:eastAsia="zh-CN"/>
              </w:rPr>
              <w:t>污水</w:t>
            </w:r>
            <w:r>
              <w:rPr>
                <w:rFonts w:hint="eastAsia" w:ascii="Times New Roman" w:hAnsi="Times New Roman" w:eastAsia="宋体" w:cs="Times New Roman"/>
                <w:color w:val="auto"/>
                <w:kern w:val="0"/>
                <w:sz w:val="24"/>
                <w:lang w:val="en-US" w:eastAsia="zh-CN"/>
              </w:rPr>
              <w:t>管网</w:t>
            </w:r>
            <w:r>
              <w:rPr>
                <w:rFonts w:hint="eastAsia" w:cs="Times New Roman"/>
                <w:color w:val="auto"/>
                <w:kern w:val="0"/>
                <w:sz w:val="24"/>
                <w:lang w:val="en-US" w:eastAsia="zh-CN"/>
              </w:rPr>
              <w:t>，最后排入乐都区污水处理厂</w:t>
            </w:r>
            <w:r>
              <w:rPr>
                <w:rFonts w:hint="eastAsia" w:ascii="Times New Roman" w:hAnsi="Times New Roman" w:eastAsia="宋体" w:cs="Times New Roman"/>
                <w:color w:val="auto"/>
                <w:kern w:val="0"/>
                <w:sz w:val="24"/>
                <w:lang w:val="en-US" w:eastAsia="zh-CN"/>
              </w:rPr>
              <w:t>。</w:t>
            </w:r>
          </w:p>
          <w:p>
            <w:pPr>
              <w:pStyle w:val="9"/>
              <w:keepNext/>
              <w:keepLines/>
              <w:pageBreakBefore w:val="0"/>
              <w:bidi w:val="0"/>
              <w:ind w:firstLine="480" w:firstLineChars="200"/>
              <w:jc w:val="both"/>
              <w:rPr>
                <w:rFonts w:hint="default"/>
                <w:color w:val="auto"/>
                <w:lang w:val="en-US" w:eastAsia="zh-CN"/>
              </w:rPr>
            </w:pPr>
            <w:r>
              <w:rPr>
                <w:rFonts w:hint="eastAsia" w:cs="Times New Roman"/>
                <w:color w:val="auto"/>
                <w:kern w:val="0"/>
                <w:sz w:val="24"/>
                <w:lang w:val="en-US" w:eastAsia="zh-CN"/>
              </w:rPr>
              <w:t>本项目污水中个污染因子产生情况及治理措施见下表。</w:t>
            </w:r>
          </w:p>
          <w:p>
            <w:pPr>
              <w:pStyle w:val="27"/>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表4-</w:t>
            </w:r>
            <w:r>
              <w:rPr>
                <w:rFonts w:hint="eastAsia" w:ascii="Times New Roman" w:hAnsi="Times New Roman" w:cs="Times New Roman"/>
                <w:color w:val="auto"/>
                <w:sz w:val="24"/>
                <w:szCs w:val="24"/>
                <w:lang w:val="en-US" w:eastAsia="zh-CN"/>
              </w:rPr>
              <w:t xml:space="preserve">4 </w:t>
            </w:r>
            <w:r>
              <w:rPr>
                <w:rFonts w:hint="default" w:ascii="Times New Roman" w:hAnsi="Times New Roman" w:cs="Times New Roman"/>
                <w:color w:val="auto"/>
                <w:sz w:val="24"/>
                <w:szCs w:val="24"/>
                <w:lang w:val="en-US" w:eastAsia="zh-CN"/>
              </w:rPr>
              <w:t>本项目污水污染因子产生浓度一览表</w:t>
            </w:r>
          </w:p>
          <w:tbl>
            <w:tblPr>
              <w:tblStyle w:val="21"/>
              <w:tblW w:w="7799" w:type="dxa"/>
              <w:tblInd w:w="13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908"/>
              <w:gridCol w:w="1118"/>
              <w:gridCol w:w="1352"/>
              <w:gridCol w:w="1946"/>
              <w:gridCol w:w="14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restart"/>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r>
                    <w:rPr>
                      <w:rFonts w:ascii="Calibri" w:hAnsi="Calibri" w:eastAsia="宋体" w:cs="Times New Roman"/>
                      <w:b/>
                      <w:bCs/>
                      <w:color w:val="auto"/>
                      <w:sz w:val="21"/>
                      <w:lang w:val="zh-CN" w:eastAsia="zh-CN" w:bidi="ar-SA"/>
                    </w:rPr>
                    <w:t>污水类型及产生量</w:t>
                  </w:r>
                </w:p>
              </w:tc>
              <w:tc>
                <w:tcPr>
                  <w:tcW w:w="4416" w:type="dxa"/>
                  <w:gridSpan w:val="3"/>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r>
                    <w:rPr>
                      <w:rFonts w:ascii="Calibri" w:hAnsi="Calibri" w:eastAsia="宋体" w:cs="Times New Roman"/>
                      <w:b/>
                      <w:bCs/>
                      <w:color w:val="auto"/>
                      <w:sz w:val="21"/>
                      <w:lang w:val="zh-CN" w:eastAsia="zh-CN" w:bidi="ar-SA"/>
                    </w:rPr>
                    <w:t>污染物产生情况</w:t>
                  </w:r>
                </w:p>
              </w:tc>
              <w:tc>
                <w:tcPr>
                  <w:tcW w:w="1475" w:type="dxa"/>
                  <w:vMerge w:val="restart"/>
                  <w:tcBorders>
                    <w:tl2br w:val="nil"/>
                    <w:tr2bl w:val="nil"/>
                  </w:tcBorders>
                  <w:vAlign w:val="center"/>
                </w:tcPr>
                <w:p>
                  <w:pPr>
                    <w:keepNext/>
                    <w:keepLines/>
                    <w:pageBreakBefore w:val="0"/>
                    <w:bidi w:val="0"/>
                    <w:jc w:val="center"/>
                    <w:rPr>
                      <w:rFonts w:hint="default"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p>
              </w:tc>
              <w:tc>
                <w:tcPr>
                  <w:tcW w:w="1118" w:type="dxa"/>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r>
                    <w:rPr>
                      <w:rFonts w:ascii="Calibri" w:hAnsi="Calibri" w:eastAsia="宋体" w:cs="Times New Roman"/>
                      <w:b/>
                      <w:bCs/>
                      <w:color w:val="auto"/>
                      <w:sz w:val="21"/>
                      <w:lang w:val="zh-CN" w:eastAsia="zh-CN" w:bidi="ar-SA"/>
                    </w:rPr>
                    <w:t>产生工序</w:t>
                  </w:r>
                </w:p>
              </w:tc>
              <w:tc>
                <w:tcPr>
                  <w:tcW w:w="1352" w:type="dxa"/>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r>
                    <w:rPr>
                      <w:rFonts w:ascii="Calibri" w:hAnsi="Calibri" w:eastAsia="宋体" w:cs="Times New Roman"/>
                      <w:b/>
                      <w:bCs/>
                      <w:color w:val="auto"/>
                      <w:sz w:val="21"/>
                      <w:lang w:val="zh-CN" w:eastAsia="zh-CN" w:bidi="ar-SA"/>
                    </w:rPr>
                    <w:t>污染物名称</w:t>
                  </w:r>
                </w:p>
              </w:tc>
              <w:tc>
                <w:tcPr>
                  <w:tcW w:w="1946" w:type="dxa"/>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r>
                    <w:rPr>
                      <w:rFonts w:ascii="Calibri" w:hAnsi="Calibri" w:eastAsia="宋体" w:cs="Times New Roman"/>
                      <w:b/>
                      <w:bCs/>
                      <w:color w:val="auto"/>
                      <w:sz w:val="21"/>
                      <w:lang w:val="zh-CN" w:eastAsia="zh-CN" w:bidi="ar-SA"/>
                    </w:rPr>
                    <w:t>产生浓度（mg/L）</w:t>
                  </w:r>
                </w:p>
              </w:tc>
              <w:tc>
                <w:tcPr>
                  <w:tcW w:w="1475" w:type="dxa"/>
                  <w:vMerge w:val="continue"/>
                  <w:tcBorders>
                    <w:tl2br w:val="nil"/>
                    <w:tr2bl w:val="nil"/>
                  </w:tcBorders>
                  <w:vAlign w:val="center"/>
                </w:tcPr>
                <w:p>
                  <w:pPr>
                    <w:keepNext/>
                    <w:keepLines/>
                    <w:pageBreakBefore w:val="0"/>
                    <w:bidi w:val="0"/>
                    <w:jc w:val="center"/>
                    <w:rPr>
                      <w:rFonts w:ascii="Calibri" w:hAnsi="Calibri" w:eastAsia="宋体" w:cs="Times New Roman"/>
                      <w:b/>
                      <w:bCs/>
                      <w:color w:val="auto"/>
                      <w:sz w:val="21"/>
                      <w:lang w:val="zh-CN"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restart"/>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p>
                  <w:pPr>
                    <w:keepNext/>
                    <w:keepLines/>
                    <w:pageBreakBefore w:val="0"/>
                    <w:bidi w:val="0"/>
                    <w:jc w:val="center"/>
                    <w:rPr>
                      <w:rFonts w:ascii="Calibri" w:hAnsi="Calibri" w:eastAsia="宋体" w:cs="Times New Roman"/>
                      <w:color w:val="auto"/>
                      <w:sz w:val="21"/>
                      <w:lang w:val="zh-CN" w:eastAsia="zh-CN" w:bidi="ar-SA"/>
                    </w:rPr>
                  </w:pPr>
                </w:p>
                <w:p>
                  <w:pPr>
                    <w:keepNext/>
                    <w:keepLines/>
                    <w:pageBreakBefore w:val="0"/>
                    <w:bidi w:val="0"/>
                    <w:jc w:val="center"/>
                    <w:rPr>
                      <w:rFonts w:ascii="Calibri" w:hAnsi="Calibri" w:eastAsia="宋体" w:cs="Times New Roman"/>
                      <w:color w:val="auto"/>
                      <w:sz w:val="21"/>
                      <w:lang w:val="zh-CN" w:eastAsia="zh-CN" w:bidi="ar-SA"/>
                    </w:rPr>
                  </w:pPr>
                  <w:r>
                    <w:rPr>
                      <w:rFonts w:ascii="Calibri" w:hAnsi="Calibri" w:eastAsia="宋体" w:cs="Times New Roman"/>
                      <w:color w:val="auto"/>
                      <w:sz w:val="21"/>
                      <w:lang w:val="zh-CN" w:eastAsia="zh-CN" w:bidi="ar-SA"/>
                    </w:rPr>
                    <w:t>生活污水</w:t>
                  </w:r>
                </w:p>
                <w:p>
                  <w:pPr>
                    <w:keepNext/>
                    <w:keepLines/>
                    <w:pageBreakBefore w:val="0"/>
                    <w:bidi w:val="0"/>
                    <w:jc w:val="center"/>
                    <w:rPr>
                      <w:rFonts w:ascii="Calibri" w:hAnsi="Calibri" w:eastAsia="宋体" w:cs="Times New Roman"/>
                      <w:color w:val="auto"/>
                      <w:sz w:val="21"/>
                      <w:lang w:val="zh-CN" w:eastAsia="zh-CN" w:bidi="ar-SA"/>
                    </w:rPr>
                  </w:pPr>
                  <w:r>
                    <w:rPr>
                      <w:rFonts w:hint="eastAsia" w:ascii="Calibri" w:hAnsi="Calibri" w:eastAsia="宋体" w:cs="Times New Roman"/>
                      <w:color w:val="auto"/>
                      <w:sz w:val="21"/>
                      <w:lang w:val="zh-CN" w:eastAsia="zh-CN" w:bidi="ar-SA"/>
                    </w:rPr>
                    <w:t>64022.4m</w:t>
                  </w:r>
                  <w:r>
                    <w:rPr>
                      <w:rFonts w:hint="eastAsia" w:ascii="Calibri" w:hAnsi="Calibri" w:eastAsia="宋体" w:cs="Times New Roman"/>
                      <w:color w:val="auto"/>
                      <w:sz w:val="21"/>
                      <w:vertAlign w:val="superscript"/>
                      <w:lang w:val="zh-CN" w:eastAsia="zh-CN" w:bidi="ar-SA"/>
                    </w:rPr>
                    <w:t>3</w:t>
                  </w:r>
                  <w:r>
                    <w:rPr>
                      <w:rFonts w:hint="default" w:ascii="Calibri" w:hAnsi="Calibri" w:eastAsia="宋体" w:cs="Times New Roman"/>
                      <w:color w:val="auto"/>
                      <w:sz w:val="21"/>
                      <w:lang w:val="zh-CN" w:eastAsia="zh-CN" w:bidi="ar-SA"/>
                    </w:rPr>
                    <w:t>/a</w:t>
                  </w:r>
                </w:p>
              </w:tc>
              <w:tc>
                <w:tcPr>
                  <w:tcW w:w="1118" w:type="dxa"/>
                  <w:vMerge w:val="restart"/>
                  <w:tcBorders>
                    <w:tl2br w:val="nil"/>
                    <w:tr2bl w:val="nil"/>
                  </w:tcBorders>
                  <w:vAlign w:val="center"/>
                </w:tcPr>
                <w:p>
                  <w:pPr>
                    <w:keepNext/>
                    <w:keepLines/>
                    <w:pageBreakBefore w:val="0"/>
                    <w:bidi w:val="0"/>
                    <w:jc w:val="center"/>
                    <w:rPr>
                      <w:rFonts w:hint="default"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日常生活</w:t>
                  </w: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pH</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6-9</w:t>
                  </w:r>
                </w:p>
              </w:tc>
              <w:tc>
                <w:tcPr>
                  <w:tcW w:w="1475" w:type="dxa"/>
                  <w:vMerge w:val="restart"/>
                  <w:tcBorders>
                    <w:tl2br w:val="nil"/>
                    <w:tr2bl w:val="nil"/>
                  </w:tcBorders>
                  <w:vAlign w:val="center"/>
                </w:tcPr>
                <w:p>
                  <w:pPr>
                    <w:keepNext/>
                    <w:keepLines/>
                    <w:pageBreakBefore w:val="0"/>
                    <w:bidi w:val="0"/>
                    <w:jc w:val="both"/>
                    <w:rPr>
                      <w:rFonts w:hint="eastAsia" w:ascii="Calibri" w:hAnsi="Calibri" w:eastAsia="宋体" w:cs="Times New Roman"/>
                      <w:color w:val="auto"/>
                      <w:sz w:val="21"/>
                      <w:lang w:val="en-US" w:eastAsia="zh-CN" w:bidi="ar-SA"/>
                    </w:rPr>
                  </w:pPr>
                </w:p>
                <w:p>
                  <w:pPr>
                    <w:keepNext/>
                    <w:keepLines/>
                    <w:pageBreakBefore w:val="0"/>
                    <w:bidi w:val="0"/>
                    <w:jc w:val="center"/>
                    <w:rPr>
                      <w:rFonts w:hint="eastAsia"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化粪池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COD</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460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pStyle w:val="28"/>
                    <w:keepNext/>
                    <w:keepLines/>
                    <w:pageBreakBefore w:val="0"/>
                    <w:bidi w:val="0"/>
                    <w:rPr>
                      <w:rFonts w:hint="eastAsia" w:eastAsia="宋体" w:asciiTheme="minorAscii" w:hAnsiTheme="minorAscii" w:cstheme="minorBidi"/>
                      <w:color w:val="auto"/>
                      <w:sz w:val="21"/>
                      <w:lang w:val="zh-CN" w:eastAsia="zh-CN"/>
                    </w:rPr>
                  </w:pPr>
                  <w:r>
                    <w:rPr>
                      <w:color w:val="auto"/>
                      <w:lang w:val="zh-CN"/>
                    </w:rPr>
                    <w:t>BOD</w:t>
                  </w:r>
                  <w:r>
                    <w:rPr>
                      <w:color w:val="auto"/>
                      <w:vertAlign w:val="subscript"/>
                      <w:lang w:val="zh-CN"/>
                    </w:rPr>
                    <w:t>5</w:t>
                  </w:r>
                </w:p>
              </w:tc>
              <w:tc>
                <w:tcPr>
                  <w:tcW w:w="1946" w:type="dxa"/>
                  <w:tcBorders>
                    <w:tl2br w:val="nil"/>
                    <w:tr2bl w:val="nil"/>
                  </w:tcBorders>
                  <w:vAlign w:val="center"/>
                </w:tcPr>
                <w:p>
                  <w:pPr>
                    <w:pStyle w:val="28"/>
                    <w:keepNext/>
                    <w:keepLines/>
                    <w:pageBreakBefore w:val="0"/>
                    <w:bidi w:val="0"/>
                    <w:rPr>
                      <w:rFonts w:hint="default" w:eastAsia="宋体" w:asciiTheme="minorAscii" w:hAnsiTheme="minorAscii" w:cstheme="minorBidi"/>
                      <w:color w:val="auto"/>
                      <w:sz w:val="21"/>
                      <w:lang w:val="en-US" w:eastAsia="zh-CN"/>
                    </w:rPr>
                  </w:pPr>
                  <w:r>
                    <w:rPr>
                      <w:color w:val="auto"/>
                      <w:lang w:val="zh-CN"/>
                    </w:rPr>
                    <w:t>2</w:t>
                  </w:r>
                  <w:r>
                    <w:rPr>
                      <w:rFonts w:hint="eastAsia"/>
                      <w:color w:val="auto"/>
                    </w:rPr>
                    <w:t>0</w:t>
                  </w:r>
                  <w:r>
                    <w:rPr>
                      <w:color w:val="auto"/>
                      <w:lang w:val="zh-CN"/>
                    </w:rPr>
                    <w:t>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SS</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250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氨氮</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52</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总磷</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总氮</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60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rPr>
                  </w:pPr>
                  <w:r>
                    <w:rPr>
                      <w:rFonts w:hint="eastAsia" w:ascii="Times New Roman" w:hAnsi="Times New Roman" w:eastAsia="宋体" w:cs="Times New Roman"/>
                      <w:color w:val="auto"/>
                      <w:kern w:val="0"/>
                      <w:sz w:val="21"/>
                      <w:szCs w:val="21"/>
                      <w:vertAlign w:val="baseline"/>
                      <w:lang w:val="en-US" w:eastAsia="zh-CN"/>
                    </w:rPr>
                    <w:t>动植物油</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40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restart"/>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zh-CN" w:eastAsia="zh-CN" w:bidi="ar-SA"/>
                    </w:rPr>
                  </w:pPr>
                  <w:r>
                    <w:rPr>
                      <w:rFonts w:hint="eastAsia" w:ascii="Calibri" w:hAnsi="Calibri" w:eastAsia="宋体" w:cs="Times New Roman"/>
                      <w:color w:val="auto"/>
                      <w:sz w:val="21"/>
                      <w:lang w:val="zh-CN" w:eastAsia="zh-CN" w:bidi="ar-SA"/>
                    </w:rPr>
                    <w:t>实验废水</w:t>
                  </w:r>
                </w:p>
                <w:p>
                  <w:pPr>
                    <w:keepNext/>
                    <w:keepLines/>
                    <w:pageBreakBefore w:val="0"/>
                    <w:bidi w:val="0"/>
                    <w:jc w:val="center"/>
                    <w:rPr>
                      <w:rFonts w:ascii="Calibri" w:hAnsi="Calibri" w:eastAsia="宋体" w:cs="Times New Roman"/>
                      <w:color w:val="auto"/>
                      <w:sz w:val="21"/>
                      <w:lang w:val="zh-CN" w:eastAsia="zh-CN" w:bidi="ar-SA"/>
                    </w:rPr>
                  </w:pPr>
                  <w:r>
                    <w:rPr>
                      <w:rFonts w:hint="eastAsia" w:ascii="Calibri" w:hAnsi="Calibri" w:cs="Times New Roman"/>
                      <w:color w:val="auto"/>
                      <w:sz w:val="21"/>
                      <w:lang w:val="en-US" w:eastAsia="zh-CN" w:bidi="ar-SA"/>
                    </w:rPr>
                    <w:t>180</w:t>
                  </w:r>
                  <w:r>
                    <w:rPr>
                      <w:rFonts w:hint="eastAsia" w:ascii="Calibri" w:hAnsi="Calibri" w:eastAsia="宋体" w:cs="Times New Roman"/>
                      <w:color w:val="auto"/>
                      <w:sz w:val="21"/>
                      <w:lang w:val="zh-CN" w:eastAsia="zh-CN" w:bidi="ar-SA"/>
                    </w:rPr>
                    <w:t>m</w:t>
                  </w:r>
                  <w:r>
                    <w:rPr>
                      <w:rFonts w:hint="eastAsia" w:ascii="Calibri" w:hAnsi="Calibri" w:eastAsia="宋体" w:cs="Times New Roman"/>
                      <w:color w:val="auto"/>
                      <w:sz w:val="21"/>
                      <w:vertAlign w:val="superscript"/>
                      <w:lang w:val="zh-CN" w:eastAsia="zh-CN" w:bidi="ar-SA"/>
                    </w:rPr>
                    <w:t>3</w:t>
                  </w:r>
                  <w:r>
                    <w:rPr>
                      <w:rFonts w:hint="default" w:ascii="Calibri" w:hAnsi="Calibri" w:eastAsia="宋体" w:cs="Times New Roman"/>
                      <w:color w:val="auto"/>
                      <w:sz w:val="21"/>
                      <w:lang w:val="zh-CN" w:eastAsia="zh-CN" w:bidi="ar-SA"/>
                    </w:rPr>
                    <w:t>/a</w:t>
                  </w:r>
                </w:p>
              </w:tc>
              <w:tc>
                <w:tcPr>
                  <w:tcW w:w="1118" w:type="dxa"/>
                  <w:vMerge w:val="restart"/>
                  <w:tcBorders>
                    <w:tl2br w:val="nil"/>
                    <w:tr2bl w:val="nil"/>
                  </w:tcBorders>
                  <w:vAlign w:val="center"/>
                </w:tcPr>
                <w:p>
                  <w:pPr>
                    <w:keepNext/>
                    <w:keepLines/>
                    <w:pageBreakBefore w:val="0"/>
                    <w:bidi w:val="0"/>
                    <w:jc w:val="both"/>
                    <w:rPr>
                      <w:rFonts w:hint="default"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实验仪器设施清洗废水</w:t>
                  </w: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PH</w:t>
                  </w:r>
                </w:p>
              </w:tc>
              <w:tc>
                <w:tcPr>
                  <w:tcW w:w="1946"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4-12</w:t>
                  </w:r>
                </w:p>
              </w:tc>
              <w:tc>
                <w:tcPr>
                  <w:tcW w:w="1475" w:type="dxa"/>
                  <w:vMerge w:val="restart"/>
                  <w:tcBorders>
                    <w:tl2br w:val="nil"/>
                    <w:tr2bl w:val="nil"/>
                  </w:tcBorders>
                  <w:vAlign w:val="center"/>
                </w:tcPr>
                <w:p>
                  <w:pPr>
                    <w:keepNext/>
                    <w:keepLines/>
                    <w:pageBreakBefore w:val="0"/>
                    <w:bidi w:val="0"/>
                    <w:jc w:val="center"/>
                    <w:rPr>
                      <w:rFonts w:hint="default" w:ascii="Calibri" w:hAnsi="Calibri" w:eastAsia="宋体" w:cs="Times New Roman"/>
                      <w:color w:val="auto"/>
                      <w:sz w:val="21"/>
                      <w:lang w:val="en-US" w:eastAsia="zh-CN" w:bidi="ar-SA"/>
                    </w:rPr>
                  </w:pPr>
                  <w:r>
                    <w:rPr>
                      <w:rFonts w:hint="eastAsia"/>
                      <w:color w:val="auto"/>
                      <w:lang w:val="en-US" w:eastAsia="zh-CN"/>
                    </w:rPr>
                    <w:t>实验室废水处理装置</w:t>
                  </w:r>
                  <w:r>
                    <w:rPr>
                      <w:rFonts w:hint="eastAsia" w:ascii="Calibri" w:hAnsi="Calibri" w:eastAsia="宋体" w:cs="Times New Roman"/>
                      <w:color w:val="auto"/>
                      <w:sz w:val="21"/>
                      <w:lang w:val="en-US" w:eastAsia="zh-CN" w:bidi="ar-SA"/>
                    </w:rPr>
                    <w:t>+化粪池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COD</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300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SS</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200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restart"/>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r>
                    <w:rPr>
                      <w:rFonts w:hint="eastAsia" w:ascii="Calibri" w:hAnsi="Calibri" w:eastAsia="宋体" w:cs="Times New Roman"/>
                      <w:color w:val="auto"/>
                      <w:sz w:val="21"/>
                      <w:lang w:val="zh-CN" w:eastAsia="zh-CN" w:bidi="ar-SA"/>
                    </w:rPr>
                    <w:t>锅炉房废水（</w:t>
                  </w:r>
                  <w:r>
                    <w:rPr>
                      <w:rFonts w:hint="eastAsia" w:ascii="Calibri" w:hAnsi="Calibri" w:cs="Times New Roman"/>
                      <w:color w:val="auto"/>
                      <w:sz w:val="21"/>
                      <w:lang w:val="en-US" w:eastAsia="zh-CN" w:bidi="ar-SA"/>
                    </w:rPr>
                    <w:t>3238.04</w:t>
                  </w:r>
                  <w:r>
                    <w:rPr>
                      <w:rFonts w:hint="eastAsia" w:ascii="Calibri" w:hAnsi="Calibri" w:eastAsia="宋体" w:cs="Times New Roman"/>
                      <w:color w:val="auto"/>
                      <w:sz w:val="21"/>
                      <w:lang w:val="zh-CN" w:eastAsia="zh-CN" w:bidi="ar-SA"/>
                    </w:rPr>
                    <w:t>m</w:t>
                  </w:r>
                  <w:r>
                    <w:rPr>
                      <w:rFonts w:hint="eastAsia" w:ascii="Calibri" w:hAnsi="Calibri" w:eastAsia="宋体" w:cs="Times New Roman"/>
                      <w:color w:val="auto"/>
                      <w:sz w:val="21"/>
                      <w:vertAlign w:val="superscript"/>
                      <w:lang w:val="zh-CN" w:eastAsia="zh-CN" w:bidi="ar-SA"/>
                    </w:rPr>
                    <w:t>3</w:t>
                  </w:r>
                  <w:r>
                    <w:rPr>
                      <w:rFonts w:hint="eastAsia" w:ascii="Calibri" w:hAnsi="Calibri" w:eastAsia="宋体" w:cs="Times New Roman"/>
                      <w:color w:val="auto"/>
                      <w:sz w:val="21"/>
                      <w:lang w:val="zh-CN" w:eastAsia="zh-CN" w:bidi="ar-SA"/>
                    </w:rPr>
                    <w:t>/a）</w:t>
                  </w:r>
                </w:p>
              </w:tc>
              <w:tc>
                <w:tcPr>
                  <w:tcW w:w="1118" w:type="dxa"/>
                  <w:vMerge w:val="restart"/>
                  <w:tcBorders>
                    <w:tl2br w:val="nil"/>
                    <w:tr2bl w:val="nil"/>
                  </w:tcBorders>
                  <w:vAlign w:val="center"/>
                </w:tcPr>
                <w:p>
                  <w:pPr>
                    <w:keepNext/>
                    <w:keepLines/>
                    <w:pageBreakBefore w:val="0"/>
                    <w:bidi w:val="0"/>
                    <w:jc w:val="center"/>
                    <w:rPr>
                      <w:rFonts w:hint="default"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锅炉排污水和离子交换树脂废水</w:t>
                  </w:r>
                </w:p>
              </w:tc>
              <w:tc>
                <w:tcPr>
                  <w:tcW w:w="1352" w:type="dxa"/>
                  <w:tcBorders>
                    <w:tl2br w:val="nil"/>
                    <w:tr2bl w:val="nil"/>
                  </w:tcBorders>
                  <w:vAlign w:val="center"/>
                </w:tcPr>
                <w:p>
                  <w:pPr>
                    <w:pStyle w:val="28"/>
                    <w:keepNext/>
                    <w:keepLines/>
                    <w:rPr>
                      <w:rFonts w:hint="default" w:ascii="Times New Roman" w:hAnsi="Times New Roman" w:eastAsia="宋体" w:cs="Times New Roman"/>
                      <w:color w:val="auto"/>
                      <w:kern w:val="0"/>
                      <w:sz w:val="21"/>
                      <w:szCs w:val="21"/>
                      <w:vertAlign w:val="baseline"/>
                      <w:lang w:val="en-US" w:eastAsia="zh-CN"/>
                    </w:rPr>
                  </w:pPr>
                  <w:r>
                    <w:rPr>
                      <w:color w:val="auto"/>
                      <w:lang w:val="zh-CN"/>
                    </w:rPr>
                    <w:t>pH</w:t>
                  </w:r>
                </w:p>
              </w:tc>
              <w:tc>
                <w:tcPr>
                  <w:tcW w:w="1946" w:type="dxa"/>
                  <w:tcBorders>
                    <w:tl2br w:val="nil"/>
                    <w:tr2bl w:val="nil"/>
                  </w:tcBorders>
                  <w:vAlign w:val="center"/>
                </w:tcPr>
                <w:p>
                  <w:pPr>
                    <w:pStyle w:val="28"/>
                    <w:keepNext/>
                    <w:keepLines/>
                    <w:rPr>
                      <w:rFonts w:hint="default" w:ascii="Times New Roman" w:hAnsi="Times New Roman" w:eastAsia="宋体" w:cs="Times New Roman"/>
                      <w:color w:val="auto"/>
                      <w:kern w:val="0"/>
                      <w:sz w:val="21"/>
                      <w:szCs w:val="21"/>
                      <w:vertAlign w:val="baseline"/>
                      <w:lang w:val="en-US" w:eastAsia="zh-CN"/>
                    </w:rPr>
                  </w:pPr>
                  <w:r>
                    <w:rPr>
                      <w:rFonts w:hint="eastAsia"/>
                      <w:color w:val="auto"/>
                    </w:rPr>
                    <w:t>5</w:t>
                  </w:r>
                  <w:r>
                    <w:rPr>
                      <w:color w:val="auto"/>
                      <w:lang w:val="zh-CN"/>
                    </w:rPr>
                    <w:t>~</w:t>
                  </w:r>
                  <w:r>
                    <w:rPr>
                      <w:rFonts w:hint="eastAsia"/>
                      <w:color w:val="auto"/>
                    </w:rPr>
                    <w:t>13</w:t>
                  </w:r>
                </w:p>
              </w:tc>
              <w:tc>
                <w:tcPr>
                  <w:tcW w:w="1475" w:type="dxa"/>
                  <w:vMerge w:val="restart"/>
                  <w:tcBorders>
                    <w:tl2br w:val="nil"/>
                    <w:tr2bl w:val="nil"/>
                  </w:tcBorders>
                  <w:vAlign w:val="center"/>
                </w:tcPr>
                <w:p>
                  <w:pPr>
                    <w:keepNext/>
                    <w:keepLines/>
                    <w:pageBreakBefore w:val="0"/>
                    <w:bidi w:val="0"/>
                    <w:jc w:val="center"/>
                    <w:rPr>
                      <w:rFonts w:hint="default" w:ascii="Calibri" w:hAnsi="Calibri" w:eastAsia="宋体" w:cs="Times New Roman"/>
                      <w:color w:val="auto"/>
                      <w:sz w:val="21"/>
                      <w:lang w:val="en-US" w:eastAsia="zh-CN" w:bidi="ar-SA"/>
                    </w:rPr>
                  </w:pPr>
                  <w:r>
                    <w:rPr>
                      <w:rFonts w:hint="eastAsia" w:ascii="Calibri" w:hAnsi="Calibri" w:cs="Times New Roman"/>
                      <w:color w:val="auto"/>
                      <w:sz w:val="21"/>
                      <w:lang w:val="en-US" w:eastAsia="zh-CN" w:bidi="ar-SA"/>
                    </w:rPr>
                    <w:t>直接</w:t>
                  </w:r>
                  <w:r>
                    <w:rPr>
                      <w:rFonts w:hint="eastAsia" w:ascii="Calibri" w:hAnsi="Calibri" w:eastAsia="宋体" w:cs="Times New Roman"/>
                      <w:color w:val="auto"/>
                      <w:sz w:val="21"/>
                      <w:lang w:val="en-US" w:eastAsia="zh-CN" w:bidi="ar-SA"/>
                    </w:rPr>
                    <w:t>排入</w:t>
                  </w:r>
                  <w:r>
                    <w:rPr>
                      <w:rFonts w:hint="eastAsia" w:ascii="Calibri" w:hAnsi="Calibri" w:cs="Times New Roman"/>
                      <w:color w:val="auto"/>
                      <w:sz w:val="21"/>
                      <w:lang w:val="en-US" w:eastAsia="zh-CN" w:bidi="ar-SA"/>
                    </w:rPr>
                    <w:t>污水</w:t>
                  </w:r>
                  <w:r>
                    <w:rPr>
                      <w:rFonts w:hint="eastAsia" w:ascii="Calibri" w:hAnsi="Calibri" w:eastAsia="宋体" w:cs="Times New Roman"/>
                      <w:color w:val="auto"/>
                      <w:sz w:val="21"/>
                      <w:lang w:val="en-US" w:eastAsia="zh-CN" w:bidi="ar-SA"/>
                    </w:rPr>
                    <w:t>管网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c>
                <w:tcPr>
                  <w:tcW w:w="1352"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color w:val="auto"/>
                      <w:lang w:val="zh-CN"/>
                    </w:rPr>
                    <w:t>COD</w:t>
                  </w:r>
                </w:p>
              </w:tc>
              <w:tc>
                <w:tcPr>
                  <w:tcW w:w="1946"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rFonts w:hint="eastAsia"/>
                      <w:color w:val="auto"/>
                      <w:lang w:val="en-US" w:eastAsia="zh-CN"/>
                    </w:rPr>
                    <w:t>60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c>
                <w:tcPr>
                  <w:tcW w:w="1352"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color w:val="auto"/>
                      <w:lang w:val="zh-CN"/>
                    </w:rPr>
                    <w:t>BOD</w:t>
                  </w:r>
                  <w:r>
                    <w:rPr>
                      <w:color w:val="auto"/>
                      <w:vertAlign w:val="subscript"/>
                      <w:lang w:val="zh-CN"/>
                    </w:rPr>
                    <w:t>5</w:t>
                  </w:r>
                </w:p>
              </w:tc>
              <w:tc>
                <w:tcPr>
                  <w:tcW w:w="1946"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rFonts w:hint="eastAsia"/>
                      <w:color w:val="auto"/>
                      <w:lang w:val="en-US" w:eastAsia="zh-CN"/>
                    </w:rPr>
                    <w:t>30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c>
                <w:tcPr>
                  <w:tcW w:w="1352"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color w:val="auto"/>
                      <w:lang w:val="zh-CN"/>
                    </w:rPr>
                    <w:t>SS</w:t>
                  </w:r>
                </w:p>
              </w:tc>
              <w:tc>
                <w:tcPr>
                  <w:tcW w:w="1946" w:type="dxa"/>
                  <w:tcBorders>
                    <w:tl2br w:val="nil"/>
                    <w:tr2bl w:val="nil"/>
                  </w:tcBorders>
                  <w:vAlign w:val="center"/>
                </w:tcPr>
                <w:p>
                  <w:pPr>
                    <w:pStyle w:val="28"/>
                    <w:keepNext/>
                    <w:keepLines/>
                    <w:rPr>
                      <w:rFonts w:hint="eastAsia" w:eastAsia="宋体" w:cs="Times New Roman"/>
                      <w:color w:val="auto"/>
                      <w:kern w:val="0"/>
                      <w:sz w:val="21"/>
                      <w:szCs w:val="21"/>
                      <w:vertAlign w:val="baseline"/>
                      <w:lang w:val="en-US" w:eastAsia="zh-CN"/>
                    </w:rPr>
                  </w:pPr>
                  <w:r>
                    <w:rPr>
                      <w:rFonts w:hint="eastAsia"/>
                      <w:color w:val="auto"/>
                      <w:lang w:val="en-US" w:eastAsia="zh-CN"/>
                    </w:rPr>
                    <w:t>20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3" w:hRule="atLeast"/>
              </w:trPr>
              <w:tc>
                <w:tcPr>
                  <w:tcW w:w="1908" w:type="dxa"/>
                  <w:vMerge w:val="restart"/>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r>
                    <w:rPr>
                      <w:rFonts w:hint="eastAsia" w:ascii="Calibri" w:hAnsi="Calibri" w:cs="Times New Roman"/>
                      <w:color w:val="auto"/>
                      <w:sz w:val="21"/>
                      <w:lang w:val="en-US" w:eastAsia="zh-CN" w:bidi="ar-SA"/>
                    </w:rPr>
                    <w:t>综合</w:t>
                  </w:r>
                  <w:r>
                    <w:rPr>
                      <w:rFonts w:hint="eastAsia" w:ascii="Calibri" w:hAnsi="Calibri" w:eastAsia="宋体" w:cs="Times New Roman"/>
                      <w:color w:val="auto"/>
                      <w:sz w:val="21"/>
                      <w:lang w:val="zh-CN" w:eastAsia="zh-CN" w:bidi="ar-SA"/>
                    </w:rPr>
                    <w:t>废水</w:t>
                  </w:r>
                </w:p>
                <w:p>
                  <w:pPr>
                    <w:keepNext/>
                    <w:keepLines/>
                    <w:pageBreakBefore w:val="0"/>
                    <w:bidi w:val="0"/>
                    <w:jc w:val="center"/>
                    <w:rPr>
                      <w:rFonts w:ascii="Calibri" w:hAnsi="Calibri" w:eastAsia="宋体" w:cs="Times New Roman"/>
                      <w:color w:val="auto"/>
                      <w:sz w:val="21"/>
                      <w:lang w:val="zh-CN" w:eastAsia="zh-CN" w:bidi="ar-SA"/>
                    </w:rPr>
                  </w:pPr>
                  <w:r>
                    <w:rPr>
                      <w:rFonts w:hint="eastAsia" w:ascii="Calibri" w:hAnsi="Calibri" w:cs="Times New Roman"/>
                      <w:color w:val="auto"/>
                      <w:sz w:val="21"/>
                      <w:lang w:val="en-US" w:eastAsia="zh-CN" w:bidi="ar-SA"/>
                    </w:rPr>
                    <w:t>64202.4</w:t>
                  </w:r>
                  <w:r>
                    <w:rPr>
                      <w:rFonts w:hint="eastAsia" w:ascii="Calibri" w:hAnsi="Calibri" w:eastAsia="宋体" w:cs="Times New Roman"/>
                      <w:color w:val="auto"/>
                      <w:sz w:val="21"/>
                      <w:lang w:val="zh-CN" w:eastAsia="zh-CN" w:bidi="ar-SA"/>
                    </w:rPr>
                    <w:t>m</w:t>
                  </w:r>
                  <w:r>
                    <w:rPr>
                      <w:rFonts w:hint="eastAsia" w:ascii="Calibri" w:hAnsi="Calibri" w:eastAsia="宋体" w:cs="Times New Roman"/>
                      <w:color w:val="auto"/>
                      <w:sz w:val="21"/>
                      <w:vertAlign w:val="superscript"/>
                      <w:lang w:val="zh-CN" w:eastAsia="zh-CN" w:bidi="ar-SA"/>
                    </w:rPr>
                    <w:t>3</w:t>
                  </w:r>
                  <w:r>
                    <w:rPr>
                      <w:rFonts w:hint="default" w:ascii="Calibri" w:hAnsi="Calibri" w:eastAsia="宋体" w:cs="Times New Roman"/>
                      <w:color w:val="auto"/>
                      <w:sz w:val="21"/>
                      <w:lang w:val="zh-CN" w:eastAsia="zh-CN" w:bidi="ar-SA"/>
                    </w:rPr>
                    <w:t>/a</w:t>
                  </w:r>
                </w:p>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restart"/>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eastAsia="宋体" w:cs="Times New Roman"/>
                      <w:color w:val="auto"/>
                      <w:kern w:val="0"/>
                      <w:sz w:val="21"/>
                      <w:szCs w:val="21"/>
                      <w:vertAlign w:val="baseline"/>
                      <w:lang w:val="en-US" w:eastAsia="zh-CN" w:bidi="ar-SA"/>
                    </w:rPr>
                    <w:t>生活污水和实验污水混合后总排废水</w:t>
                  </w: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pH</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6-9</w:t>
                  </w:r>
                </w:p>
              </w:tc>
              <w:tc>
                <w:tcPr>
                  <w:tcW w:w="1475" w:type="dxa"/>
                  <w:vMerge w:val="restart"/>
                  <w:tcBorders>
                    <w:tl2br w:val="nil"/>
                    <w:tr2bl w:val="nil"/>
                  </w:tcBorders>
                  <w:vAlign w:val="center"/>
                </w:tcPr>
                <w:p>
                  <w:pPr>
                    <w:keepNext/>
                    <w:keepLines/>
                    <w:pageBreakBefore w:val="0"/>
                    <w:bidi w:val="0"/>
                    <w:jc w:val="center"/>
                    <w:rPr>
                      <w:rFonts w:hint="default" w:ascii="Calibri" w:hAnsi="Calibri" w:eastAsia="宋体" w:cs="Times New Roman"/>
                      <w:color w:val="auto"/>
                      <w:sz w:val="21"/>
                      <w:lang w:val="en-US" w:eastAsia="zh-CN" w:bidi="ar-SA"/>
                    </w:rPr>
                  </w:pPr>
                  <w:r>
                    <w:rPr>
                      <w:rFonts w:hint="eastAsia" w:ascii="Calibri" w:hAnsi="Calibri" w:eastAsia="宋体" w:cs="Times New Roman"/>
                      <w:color w:val="auto"/>
                      <w:sz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COD</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eastAsia="宋体" w:cs="Times New Roman"/>
                      <w:color w:val="auto"/>
                      <w:kern w:val="0"/>
                      <w:sz w:val="21"/>
                      <w:szCs w:val="21"/>
                      <w:vertAlign w:val="baseline"/>
                      <w:lang w:val="en-US" w:eastAsia="zh-CN"/>
                    </w:rPr>
                    <w:t>450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pStyle w:val="28"/>
                    <w:keepNext/>
                    <w:keepLines/>
                    <w:pageBreakBefore w:val="0"/>
                    <w:bidi w:val="0"/>
                    <w:rPr>
                      <w:rFonts w:hint="eastAsia" w:eastAsia="宋体" w:asciiTheme="minorAscii" w:hAnsiTheme="minorAscii" w:cstheme="minorBidi"/>
                      <w:color w:val="auto"/>
                      <w:sz w:val="21"/>
                      <w:lang w:val="zh-CN" w:eastAsia="zh-CN"/>
                    </w:rPr>
                  </w:pPr>
                </w:p>
              </w:tc>
              <w:tc>
                <w:tcPr>
                  <w:tcW w:w="1352" w:type="dxa"/>
                  <w:tcBorders>
                    <w:tl2br w:val="nil"/>
                    <w:tr2bl w:val="nil"/>
                  </w:tcBorders>
                  <w:vAlign w:val="center"/>
                </w:tcPr>
                <w:p>
                  <w:pPr>
                    <w:pStyle w:val="28"/>
                    <w:keepNext/>
                    <w:keepLines/>
                    <w:pageBreakBefore w:val="0"/>
                    <w:bidi w:val="0"/>
                    <w:rPr>
                      <w:rFonts w:hint="eastAsia" w:eastAsia="宋体" w:asciiTheme="minorAscii" w:hAnsiTheme="minorAscii" w:cstheme="minorBidi"/>
                      <w:color w:val="auto"/>
                      <w:sz w:val="21"/>
                      <w:lang w:val="zh-CN" w:eastAsia="zh-CN"/>
                    </w:rPr>
                  </w:pPr>
                  <w:r>
                    <w:rPr>
                      <w:color w:val="auto"/>
                      <w:lang w:val="zh-CN"/>
                    </w:rPr>
                    <w:t>BOD</w:t>
                  </w:r>
                  <w:r>
                    <w:rPr>
                      <w:color w:val="auto"/>
                      <w:vertAlign w:val="subscript"/>
                      <w:lang w:val="zh-CN"/>
                    </w:rPr>
                    <w:t>5</w:t>
                  </w:r>
                </w:p>
              </w:tc>
              <w:tc>
                <w:tcPr>
                  <w:tcW w:w="1946" w:type="dxa"/>
                  <w:tcBorders>
                    <w:tl2br w:val="nil"/>
                    <w:tr2bl w:val="nil"/>
                  </w:tcBorders>
                  <w:vAlign w:val="center"/>
                </w:tcPr>
                <w:p>
                  <w:pPr>
                    <w:pStyle w:val="28"/>
                    <w:keepNext/>
                    <w:keepLines/>
                    <w:pageBreakBefore w:val="0"/>
                    <w:bidi w:val="0"/>
                    <w:rPr>
                      <w:rFonts w:hint="eastAsia" w:eastAsia="宋体" w:asciiTheme="minorAscii" w:hAnsiTheme="minorAscii" w:cstheme="minorBidi"/>
                      <w:color w:val="auto"/>
                      <w:sz w:val="21"/>
                      <w:lang w:val="en-US" w:eastAsia="zh-CN"/>
                    </w:rPr>
                  </w:pPr>
                  <w:r>
                    <w:rPr>
                      <w:color w:val="auto"/>
                      <w:lang w:val="zh-CN"/>
                    </w:rPr>
                    <w:t>2</w:t>
                  </w:r>
                  <w:r>
                    <w:rPr>
                      <w:rFonts w:hint="eastAsia"/>
                      <w:color w:val="auto"/>
                    </w:rPr>
                    <w:t>0</w:t>
                  </w:r>
                  <w:r>
                    <w:rPr>
                      <w:color w:val="auto"/>
                      <w:lang w:val="zh-CN"/>
                    </w:rPr>
                    <w:t>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SS</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eastAsia="宋体" w:cs="Times New Roman"/>
                      <w:color w:val="auto"/>
                      <w:kern w:val="0"/>
                      <w:sz w:val="21"/>
                      <w:szCs w:val="21"/>
                      <w:vertAlign w:val="baseline"/>
                      <w:lang w:val="en-US" w:eastAsia="zh-CN"/>
                    </w:rPr>
                    <w:t>200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氨氮</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w:t>
                  </w:r>
                  <w:r>
                    <w:rPr>
                      <w:rFonts w:hint="eastAsia" w:cs="Times New Roman"/>
                      <w:color w:val="auto"/>
                      <w:kern w:val="0"/>
                      <w:sz w:val="21"/>
                      <w:szCs w:val="21"/>
                      <w:vertAlign w:val="baseline"/>
                      <w:lang w:val="en-US" w:eastAsia="zh-CN"/>
                    </w:rPr>
                    <w:t>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总磷</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总氮</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55</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908" w:type="dxa"/>
                  <w:vMerge w:val="continue"/>
                  <w:tcBorders>
                    <w:tl2br w:val="nil"/>
                    <w:tr2bl w:val="nil"/>
                  </w:tcBorders>
                  <w:vAlign w:val="center"/>
                </w:tcPr>
                <w:p>
                  <w:pPr>
                    <w:keepNext/>
                    <w:keepLines/>
                    <w:pageBreakBefore w:val="0"/>
                    <w:bidi w:val="0"/>
                    <w:jc w:val="center"/>
                    <w:rPr>
                      <w:rFonts w:ascii="Calibri" w:hAnsi="Calibri" w:eastAsia="宋体" w:cs="Times New Roman"/>
                      <w:color w:val="auto"/>
                      <w:sz w:val="21"/>
                      <w:lang w:val="zh-CN" w:eastAsia="zh-CN" w:bidi="ar-SA"/>
                    </w:rPr>
                  </w:pPr>
                </w:p>
              </w:tc>
              <w:tc>
                <w:tcPr>
                  <w:tcW w:w="1118" w:type="dxa"/>
                  <w:vMerge w:val="continue"/>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zh-CN" w:eastAsia="zh-CN" w:bidi="ar-SA"/>
                    </w:rPr>
                  </w:pPr>
                </w:p>
              </w:tc>
              <w:tc>
                <w:tcPr>
                  <w:tcW w:w="1352"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zh-CN" w:eastAsia="zh-CN" w:bidi="ar-SA"/>
                    </w:rPr>
                  </w:pPr>
                  <w:r>
                    <w:rPr>
                      <w:rFonts w:hint="eastAsia" w:ascii="Times New Roman" w:hAnsi="Times New Roman" w:eastAsia="宋体" w:cs="Times New Roman"/>
                      <w:color w:val="auto"/>
                      <w:kern w:val="0"/>
                      <w:sz w:val="21"/>
                      <w:szCs w:val="21"/>
                      <w:vertAlign w:val="baseline"/>
                      <w:lang w:val="en-US" w:eastAsia="zh-CN"/>
                    </w:rPr>
                    <w:t>动植物油</w:t>
                  </w:r>
                </w:p>
              </w:tc>
              <w:tc>
                <w:tcPr>
                  <w:tcW w:w="1946"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30</w:t>
                  </w:r>
                </w:p>
              </w:tc>
              <w:tc>
                <w:tcPr>
                  <w:tcW w:w="1475" w:type="dxa"/>
                  <w:vMerge w:val="continue"/>
                  <w:tcBorders>
                    <w:tl2br w:val="nil"/>
                    <w:tr2bl w:val="nil"/>
                  </w:tcBorders>
                  <w:vAlign w:val="center"/>
                </w:tcPr>
                <w:p>
                  <w:pPr>
                    <w:keepNext/>
                    <w:keepLines/>
                    <w:pageBreakBefore w:val="0"/>
                    <w:bidi w:val="0"/>
                    <w:jc w:val="center"/>
                    <w:rPr>
                      <w:rFonts w:hint="eastAsia" w:ascii="Calibri" w:hAnsi="Calibri" w:eastAsia="宋体" w:cs="Times New Roman"/>
                      <w:color w:val="auto"/>
                      <w:sz w:val="21"/>
                      <w:lang w:val="en-US" w:eastAsia="zh-CN" w:bidi="ar-SA"/>
                    </w:rPr>
                  </w:pPr>
                </w:p>
              </w:tc>
            </w:tr>
          </w:tbl>
          <w:p>
            <w:pPr>
              <w:keepNext/>
              <w:keepLines/>
              <w:pageBreakBefore w:val="0"/>
              <w:bidi w:val="0"/>
              <w:spacing w:line="360" w:lineRule="auto"/>
              <w:ind w:firstLine="480" w:firstLineChars="200"/>
              <w:rPr>
                <w:rFonts w:hint="eastAsia"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生活污水</w:t>
            </w:r>
            <w:r>
              <w:rPr>
                <w:rFonts w:hint="eastAsia" w:cs="Times New Roman"/>
                <w:color w:val="auto"/>
                <w:kern w:val="0"/>
                <w:sz w:val="24"/>
                <w:lang w:val="en-US" w:eastAsia="zh-CN"/>
              </w:rPr>
              <w:t>、实验室</w:t>
            </w:r>
            <w:r>
              <w:rPr>
                <w:rFonts w:hint="eastAsia" w:ascii="Times New Roman" w:hAnsi="Times New Roman" w:eastAsia="宋体" w:cs="Times New Roman"/>
                <w:color w:val="auto"/>
                <w:kern w:val="0"/>
                <w:sz w:val="24"/>
                <w:lang w:val="en-US" w:eastAsia="zh-CN"/>
              </w:rPr>
              <w:t>综合排放水质和各污染因子排放量见下表：</w:t>
            </w:r>
          </w:p>
          <w:p>
            <w:pPr>
              <w:keepNext/>
              <w:keepLines/>
              <w:pageBreakBefore w:val="0"/>
              <w:widowControl/>
              <w:kinsoku/>
              <w:overflowPunct/>
              <w:autoSpaceDE/>
              <w:autoSpaceDN/>
              <w:bidi w:val="0"/>
              <w:spacing w:line="360" w:lineRule="auto"/>
              <w:jc w:val="center"/>
              <w:rPr>
                <w:rFonts w:hint="default" w:ascii="Times New Roman" w:hAnsi="Times New Roman" w:eastAsia="宋体" w:cs="Times New Roman"/>
                <w:b/>
                <w:color w:val="auto"/>
                <w:sz w:val="24"/>
                <w:szCs w:val="24"/>
                <w:lang w:val="en-US" w:eastAsia="zh-CN" w:bidi="ar-SA"/>
              </w:rPr>
            </w:pPr>
            <w:r>
              <w:rPr>
                <w:rFonts w:hint="default" w:ascii="Times New Roman" w:hAnsi="Times New Roman" w:eastAsia="宋体" w:cs="Times New Roman"/>
                <w:b/>
                <w:color w:val="auto"/>
                <w:sz w:val="24"/>
                <w:szCs w:val="24"/>
                <w:lang w:val="en-US" w:eastAsia="zh-CN" w:bidi="ar-SA"/>
              </w:rPr>
              <w:t>表4-</w:t>
            </w:r>
            <w:r>
              <w:rPr>
                <w:rFonts w:hint="eastAsia" w:cs="Times New Roman"/>
                <w:b/>
                <w:color w:val="auto"/>
                <w:sz w:val="24"/>
                <w:szCs w:val="24"/>
                <w:lang w:val="en-US" w:eastAsia="zh-CN" w:bidi="ar-SA"/>
              </w:rPr>
              <w:t xml:space="preserve">5 </w:t>
            </w:r>
            <w:r>
              <w:rPr>
                <w:rFonts w:hint="default" w:ascii="Times New Roman" w:hAnsi="Times New Roman" w:cs="Times New Roman"/>
                <w:b/>
                <w:color w:val="auto"/>
                <w:sz w:val="24"/>
                <w:szCs w:val="24"/>
                <w:lang w:val="en-US" w:eastAsia="zh-CN" w:bidi="ar-SA"/>
              </w:rPr>
              <w:t xml:space="preserve"> 本项目</w:t>
            </w:r>
            <w:r>
              <w:rPr>
                <w:rFonts w:hint="default" w:ascii="Times New Roman" w:hAnsi="Times New Roman" w:eastAsia="宋体" w:cs="Times New Roman"/>
                <w:b/>
                <w:color w:val="auto"/>
                <w:sz w:val="24"/>
                <w:szCs w:val="24"/>
                <w:lang w:val="en-US" w:eastAsia="zh-CN" w:bidi="ar-SA"/>
              </w:rPr>
              <w:t>总排放水质和各污染因子排放量一览表</w:t>
            </w:r>
          </w:p>
          <w:tbl>
            <w:tblPr>
              <w:tblStyle w:val="22"/>
              <w:tblW w:w="7980"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85"/>
              <w:gridCol w:w="1771"/>
              <w:gridCol w:w="33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tcPr>
                <w:p>
                  <w:pPr>
                    <w:keepNext/>
                    <w:keepLines/>
                    <w:pageBreakBefore w:val="0"/>
                    <w:widowControl/>
                    <w:kinsoku/>
                    <w:overflowPunct/>
                    <w:autoSpaceDE/>
                    <w:autoSpaceDN/>
                    <w:bidi w:val="0"/>
                    <w:jc w:val="center"/>
                    <w:rPr>
                      <w:rFonts w:hint="eastAsia"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污染物种类（综合废水）</w:t>
                  </w:r>
                </w:p>
              </w:tc>
              <w:tc>
                <w:tcPr>
                  <w:tcW w:w="1771" w:type="dxa"/>
                  <w:tcBorders>
                    <w:tl2br w:val="nil"/>
                    <w:tr2bl w:val="nil"/>
                  </w:tcBorders>
                </w:tcPr>
                <w:p>
                  <w:pPr>
                    <w:keepNext/>
                    <w:keepLines/>
                    <w:pageBreakBefore w:val="0"/>
                    <w:widowControl/>
                    <w:kinsoku/>
                    <w:overflowPunct/>
                    <w:autoSpaceDE/>
                    <w:autoSpaceDN/>
                    <w:bidi w:val="0"/>
                    <w:jc w:val="center"/>
                    <w:rPr>
                      <w:rFonts w:hint="default" w:ascii="Calibri" w:hAnsi="Calibri" w:eastAsia="宋体" w:cs="Times New Roman"/>
                      <w:b/>
                      <w:bCs/>
                      <w:color w:val="auto"/>
                      <w:sz w:val="21"/>
                      <w:lang w:val="en-US" w:eastAsia="zh-CN" w:bidi="ar-SA"/>
                    </w:rPr>
                  </w:pPr>
                  <w:r>
                    <w:rPr>
                      <w:rFonts w:hint="eastAsia" w:ascii="Calibri" w:hAnsi="Calibri" w:cs="Times New Roman"/>
                      <w:b/>
                      <w:bCs/>
                      <w:color w:val="auto"/>
                      <w:sz w:val="21"/>
                      <w:lang w:val="en-US" w:eastAsia="zh-CN" w:bidi="ar-SA"/>
                    </w:rPr>
                    <w:t>排放</w:t>
                  </w:r>
                  <w:r>
                    <w:rPr>
                      <w:rFonts w:hint="eastAsia" w:ascii="Calibri" w:hAnsi="Calibri" w:eastAsia="宋体" w:cs="Times New Roman"/>
                      <w:b/>
                      <w:bCs/>
                      <w:color w:val="auto"/>
                      <w:sz w:val="21"/>
                      <w:lang w:val="en-US" w:eastAsia="zh-CN" w:bidi="ar-SA"/>
                    </w:rPr>
                    <w:t>浓度（mg/L）</w:t>
                  </w:r>
                </w:p>
              </w:tc>
              <w:tc>
                <w:tcPr>
                  <w:tcW w:w="3324" w:type="dxa"/>
                  <w:tcBorders>
                    <w:tl2br w:val="nil"/>
                    <w:tr2bl w:val="nil"/>
                  </w:tcBorders>
                </w:tcPr>
                <w:p>
                  <w:pPr>
                    <w:keepNext/>
                    <w:keepLines/>
                    <w:pageBreakBefore w:val="0"/>
                    <w:widowControl/>
                    <w:kinsoku/>
                    <w:overflowPunct/>
                    <w:autoSpaceDE/>
                    <w:autoSpaceDN/>
                    <w:bidi w:val="0"/>
                    <w:jc w:val="center"/>
                    <w:rPr>
                      <w:rFonts w:hint="eastAsia" w:ascii="Calibri" w:hAnsi="Calibri" w:eastAsia="宋体" w:cs="Times New Roman"/>
                      <w:b/>
                      <w:bCs/>
                      <w:color w:val="auto"/>
                      <w:sz w:val="21"/>
                      <w:lang w:val="en-US" w:eastAsia="zh-CN" w:bidi="ar-SA"/>
                    </w:rPr>
                  </w:pPr>
                  <w:r>
                    <w:rPr>
                      <w:rFonts w:hint="eastAsia" w:ascii="Calibri" w:hAnsi="Calibri" w:eastAsia="宋体" w:cs="Times New Roman"/>
                      <w:b/>
                      <w:bCs/>
                      <w:color w:val="auto"/>
                      <w:sz w:val="21"/>
                      <w:lang w:val="en-US" w:eastAsia="zh-CN" w:bidi="ar-SA"/>
                    </w:rPr>
                    <w:t>年</w:t>
                  </w:r>
                  <w:r>
                    <w:rPr>
                      <w:rFonts w:hint="eastAsia" w:ascii="Calibri" w:hAnsi="Calibri" w:cs="Times New Roman"/>
                      <w:b/>
                      <w:bCs/>
                      <w:color w:val="auto"/>
                      <w:sz w:val="21"/>
                      <w:lang w:val="en-US" w:eastAsia="zh-CN" w:bidi="ar-SA"/>
                    </w:rPr>
                    <w:t>排放量</w:t>
                  </w:r>
                  <w:r>
                    <w:rPr>
                      <w:rFonts w:hint="eastAsia" w:ascii="Calibri" w:hAnsi="Calibri" w:eastAsia="宋体" w:cs="Times New Roman"/>
                      <w:b/>
                      <w:bCs/>
                      <w:color w:val="auto"/>
                      <w:sz w:val="21"/>
                      <w:lang w:val="en-US" w:eastAsia="zh-CN" w:bidi="ar-SA"/>
                    </w:rPr>
                    <w:t>（t/a）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pH</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85"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COD</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eastAsia="宋体" w:cs="Times New Roman"/>
                      <w:color w:val="auto"/>
                      <w:kern w:val="0"/>
                      <w:sz w:val="21"/>
                      <w:szCs w:val="21"/>
                      <w:vertAlign w:val="baseline"/>
                      <w:lang w:val="en-US" w:eastAsia="zh-CN"/>
                    </w:rPr>
                    <w:t>450</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eastAsia="宋体"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28.89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pStyle w:val="28"/>
                    <w:keepNext/>
                    <w:keepLines/>
                    <w:pageBreakBefore w:val="0"/>
                    <w:bidi w:val="0"/>
                    <w:rPr>
                      <w:rFonts w:hint="default" w:ascii="Times New Roman" w:hAnsi="Times New Roman" w:eastAsia="宋体" w:cs="Times New Roman"/>
                      <w:color w:val="auto"/>
                      <w:sz w:val="21"/>
                      <w:lang w:val="en-US" w:eastAsia="zh-CN" w:bidi="ar-SA"/>
                    </w:rPr>
                  </w:pPr>
                  <w:r>
                    <w:rPr>
                      <w:rFonts w:hint="default" w:ascii="Times New Roman" w:hAnsi="Times New Roman" w:cs="Times New Roman"/>
                      <w:color w:val="auto"/>
                      <w:lang w:val="zh-CN" w:eastAsia="zh-CN" w:bidi="ar-SA"/>
                    </w:rPr>
                    <w:t>BOD</w:t>
                  </w:r>
                  <w:r>
                    <w:rPr>
                      <w:rFonts w:hint="default" w:ascii="Times New Roman" w:hAnsi="Times New Roman" w:cs="Times New Roman"/>
                      <w:color w:val="auto"/>
                      <w:vertAlign w:val="subscript"/>
                      <w:lang w:val="zh-CN" w:eastAsia="zh-CN" w:bidi="ar-SA"/>
                    </w:rPr>
                    <w:t>5</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sz w:val="21"/>
                      <w:lang w:val="en-US" w:eastAsia="zh-CN"/>
                    </w:rPr>
                  </w:pPr>
                  <w:r>
                    <w:rPr>
                      <w:rFonts w:hint="default" w:ascii="Times New Roman" w:hAnsi="Times New Roman" w:cs="Times New Roman"/>
                      <w:color w:val="auto"/>
                      <w:lang w:val="zh-CN"/>
                    </w:rPr>
                    <w:t>2</w:t>
                  </w:r>
                  <w:r>
                    <w:rPr>
                      <w:rFonts w:hint="default" w:ascii="Times New Roman" w:hAnsi="Times New Roman" w:cs="Times New Roman"/>
                      <w:color w:val="auto"/>
                    </w:rPr>
                    <w:t>0</w:t>
                  </w:r>
                  <w:r>
                    <w:rPr>
                      <w:rFonts w:hint="default" w:ascii="Times New Roman" w:hAnsi="Times New Roman" w:cs="Times New Roman"/>
                      <w:color w:val="auto"/>
                      <w:lang w:val="zh-CN"/>
                    </w:rPr>
                    <w:t>0</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12.84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SS</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eastAsia="宋体" w:cs="Times New Roman"/>
                      <w:color w:val="auto"/>
                      <w:kern w:val="0"/>
                      <w:sz w:val="21"/>
                      <w:szCs w:val="21"/>
                      <w:vertAlign w:val="baseline"/>
                      <w:lang w:val="en-US" w:eastAsia="zh-CN"/>
                    </w:rPr>
                    <w:t>200</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eastAsia="宋体"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12.84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885"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氨氮</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w:t>
                  </w:r>
                  <w:r>
                    <w:rPr>
                      <w:rFonts w:hint="eastAsia" w:cs="Times New Roman"/>
                      <w:color w:val="auto"/>
                      <w:kern w:val="0"/>
                      <w:sz w:val="21"/>
                      <w:szCs w:val="21"/>
                      <w:vertAlign w:val="baseline"/>
                      <w:lang w:val="en-US" w:eastAsia="zh-CN"/>
                    </w:rPr>
                    <w:t>0</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3.21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keepNext/>
                    <w:keepLines/>
                    <w:pageBreakBefore w:val="0"/>
                    <w:bidi w:val="0"/>
                    <w:spacing w:line="240" w:lineRule="auto"/>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总磷</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5</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0.321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总氮</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55</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3.53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5" w:type="dxa"/>
                  <w:tcBorders>
                    <w:tl2br w:val="nil"/>
                    <w:tr2bl w:val="nil"/>
                  </w:tcBorders>
                  <w:vAlign w:val="center"/>
                </w:tcPr>
                <w:p>
                  <w:pPr>
                    <w:keepNext/>
                    <w:keepLines/>
                    <w:pageBreakBefore w:val="0"/>
                    <w:bidi w:val="0"/>
                    <w:spacing w:line="240" w:lineRule="auto"/>
                    <w:jc w:val="center"/>
                    <w:rPr>
                      <w:rFonts w:hint="eastAsia" w:ascii="Times New Roman" w:hAnsi="Times New Roman" w:eastAsia="宋体" w:cs="Times New Roman"/>
                      <w:color w:val="auto"/>
                      <w:kern w:val="0"/>
                      <w:sz w:val="21"/>
                      <w:szCs w:val="21"/>
                      <w:vertAlign w:val="baseline"/>
                      <w:lang w:val="en-US" w:eastAsia="zh-CN" w:bidi="ar-SA"/>
                    </w:rPr>
                  </w:pPr>
                  <w:r>
                    <w:rPr>
                      <w:rFonts w:hint="eastAsia" w:ascii="Times New Roman" w:hAnsi="Times New Roman" w:eastAsia="宋体" w:cs="Times New Roman"/>
                      <w:color w:val="auto"/>
                      <w:kern w:val="0"/>
                      <w:sz w:val="21"/>
                      <w:szCs w:val="21"/>
                      <w:vertAlign w:val="baseline"/>
                      <w:lang w:val="en-US" w:eastAsia="zh-CN"/>
                    </w:rPr>
                    <w:t>动植物油</w:t>
                  </w:r>
                </w:p>
              </w:tc>
              <w:tc>
                <w:tcPr>
                  <w:tcW w:w="1771" w:type="dxa"/>
                  <w:tcBorders>
                    <w:tl2br w:val="nil"/>
                    <w:tr2bl w:val="nil"/>
                  </w:tcBorders>
                  <w:vAlign w:val="center"/>
                </w:tcPr>
                <w:p>
                  <w:pPr>
                    <w:keepNext/>
                    <w:keepLines/>
                    <w:pageBreakBefore w:val="0"/>
                    <w:widowControl/>
                    <w:kinsoku/>
                    <w:overflowPunct/>
                    <w:autoSpaceDE/>
                    <w:autoSpaceDN/>
                    <w:bidi w:val="0"/>
                    <w:jc w:val="center"/>
                    <w:rPr>
                      <w:rFonts w:hint="default" w:ascii="Times New Roman" w:hAnsi="Times New Roman" w:eastAsia="宋体" w:cs="Times New Roman"/>
                      <w:color w:val="auto"/>
                      <w:kern w:val="0"/>
                      <w:sz w:val="21"/>
                      <w:szCs w:val="21"/>
                      <w:vertAlign w:val="baseline"/>
                      <w:lang w:val="en-US" w:eastAsia="zh-CN" w:bidi="ar-SA"/>
                    </w:rPr>
                  </w:pPr>
                  <w:r>
                    <w:rPr>
                      <w:rFonts w:hint="eastAsia" w:cs="Times New Roman"/>
                      <w:color w:val="auto"/>
                      <w:kern w:val="0"/>
                      <w:sz w:val="21"/>
                      <w:szCs w:val="21"/>
                      <w:vertAlign w:val="baseline"/>
                      <w:lang w:val="en-US" w:eastAsia="zh-CN"/>
                    </w:rPr>
                    <w:t>30</w:t>
                  </w:r>
                </w:p>
              </w:tc>
              <w:tc>
                <w:tcPr>
                  <w:tcW w:w="3324" w:type="dxa"/>
                  <w:tcBorders>
                    <w:tl2br w:val="nil"/>
                    <w:tr2bl w:val="nil"/>
                  </w:tcBorders>
                  <w:vAlign w:val="center"/>
                </w:tcPr>
                <w:p>
                  <w:pPr>
                    <w:keepNext/>
                    <w:keepLines/>
                    <w:pageBreakBefore w:val="0"/>
                    <w:widowControl/>
                    <w:kinsoku/>
                    <w:overflowPunct/>
                    <w:autoSpaceDE/>
                    <w:autoSpaceDN/>
                    <w:bidi w:val="0"/>
                    <w:jc w:val="center"/>
                    <w:rPr>
                      <w:rFonts w:hint="default" w:cs="Times New Roman"/>
                      <w:color w:val="auto"/>
                      <w:kern w:val="0"/>
                      <w:sz w:val="21"/>
                      <w:szCs w:val="21"/>
                      <w:vertAlign w:val="baseline"/>
                      <w:lang w:val="en-US" w:eastAsia="zh-CN"/>
                    </w:rPr>
                  </w:pPr>
                  <w:r>
                    <w:rPr>
                      <w:rFonts w:hint="eastAsia" w:cs="Times New Roman"/>
                      <w:color w:val="auto"/>
                      <w:kern w:val="0"/>
                      <w:sz w:val="21"/>
                      <w:szCs w:val="21"/>
                      <w:vertAlign w:val="baseline"/>
                      <w:lang w:val="en-US" w:eastAsia="zh-CN"/>
                    </w:rPr>
                    <w:t>1.93</w:t>
                  </w:r>
                </w:p>
              </w:tc>
            </w:tr>
          </w:tbl>
          <w:p>
            <w:pPr>
              <w:keepNext/>
              <w:keepLines/>
              <w:pageBreakBefore w:val="0"/>
              <w:bidi w:val="0"/>
              <w:spacing w:line="360" w:lineRule="auto"/>
              <w:ind w:firstLine="482" w:firstLineChars="200"/>
              <w:rPr>
                <w:rFonts w:hint="eastAsia" w:hAnsi="宋体"/>
                <w:b/>
                <w:color w:val="auto"/>
                <w:sz w:val="24"/>
              </w:rPr>
            </w:pPr>
            <w:r>
              <w:rPr>
                <w:rFonts w:hint="eastAsia" w:hAnsi="宋体"/>
                <w:b/>
                <w:color w:val="auto"/>
                <w:sz w:val="24"/>
              </w:rPr>
              <w:t xml:space="preserve">（4）废水监测要求 </w:t>
            </w:r>
          </w:p>
          <w:p>
            <w:pPr>
              <w:keepNext/>
              <w:keepLines/>
              <w:pageBreakBefore w:val="0"/>
              <w:bidi w:val="0"/>
              <w:spacing w:line="360" w:lineRule="auto"/>
              <w:ind w:firstLine="482"/>
              <w:rPr>
                <w:rFonts w:hint="eastAsia" w:ascii="Times New Roman" w:hAnsi="Times New Roman" w:eastAsia="宋体" w:cs="Times New Roman"/>
                <w:color w:val="auto"/>
                <w:kern w:val="0"/>
                <w:sz w:val="24"/>
                <w:lang w:eastAsia="zh-CN"/>
              </w:rPr>
            </w:pPr>
            <w:r>
              <w:rPr>
                <w:rFonts w:hint="eastAsia" w:ascii="Times New Roman" w:hAnsi="Times New Roman" w:eastAsia="宋体" w:cs="Times New Roman"/>
                <w:color w:val="auto"/>
                <w:kern w:val="0"/>
                <w:sz w:val="24"/>
              </w:rPr>
              <w:t>根据《排污单位自行监测技术指南总则》（HJ 819-2017），本项目属于非重点排污单位，废水其他排放口监测指标监测频次为</w:t>
            </w:r>
            <w:r>
              <w:rPr>
                <w:rFonts w:hint="eastAsia" w:cs="Times New Roman"/>
                <w:color w:val="auto"/>
                <w:kern w:val="0"/>
                <w:sz w:val="24"/>
                <w:lang w:val="en-US" w:eastAsia="zh-CN"/>
              </w:rPr>
              <w:t>1</w:t>
            </w:r>
            <w:r>
              <w:rPr>
                <w:rFonts w:hint="eastAsia" w:ascii="Times New Roman" w:hAnsi="Times New Roman" w:eastAsia="宋体" w:cs="Times New Roman"/>
                <w:color w:val="auto"/>
                <w:kern w:val="0"/>
                <w:sz w:val="24"/>
              </w:rPr>
              <w:t>次</w:t>
            </w:r>
            <w:r>
              <w:rPr>
                <w:rFonts w:hint="eastAsia" w:cs="Times New Roman"/>
                <w:color w:val="auto"/>
                <w:kern w:val="0"/>
                <w:sz w:val="24"/>
                <w:lang w:val="en-US" w:eastAsia="zh-CN"/>
              </w:rPr>
              <w:t>/</w:t>
            </w:r>
            <w:r>
              <w:rPr>
                <w:rFonts w:hint="eastAsia" w:ascii="Times New Roman" w:hAnsi="Times New Roman" w:eastAsia="宋体" w:cs="Times New Roman"/>
                <w:color w:val="auto"/>
                <w:kern w:val="0"/>
                <w:sz w:val="24"/>
              </w:rPr>
              <w:t>每年。本项目废水监测要求如下</w:t>
            </w:r>
            <w:r>
              <w:rPr>
                <w:rFonts w:hint="eastAsia" w:ascii="Times New Roman" w:hAnsi="Times New Roman" w:eastAsia="宋体" w:cs="Times New Roman"/>
                <w:color w:val="auto"/>
                <w:kern w:val="0"/>
                <w:sz w:val="24"/>
                <w:lang w:eastAsia="zh-CN"/>
              </w:rPr>
              <w:t>：</w:t>
            </w:r>
          </w:p>
          <w:p>
            <w:pPr>
              <w:pStyle w:val="27"/>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表 4-</w:t>
            </w:r>
            <w:r>
              <w:rPr>
                <w:rFonts w:hint="eastAsia" w:ascii="Times New Roman" w:hAnsi="Times New Roman" w:cs="Times New Roman"/>
                <w:color w:val="auto"/>
                <w:sz w:val="24"/>
                <w:szCs w:val="24"/>
                <w:lang w:val="en-US" w:eastAsia="zh-CN"/>
              </w:rPr>
              <w:t xml:space="preserve">6 </w:t>
            </w:r>
            <w:r>
              <w:rPr>
                <w:rFonts w:hint="default" w:ascii="Times New Roman" w:hAnsi="Times New Roman" w:cs="Times New Roman"/>
                <w:color w:val="auto"/>
                <w:sz w:val="24"/>
                <w:szCs w:val="24"/>
                <w:lang w:val="en-US" w:eastAsia="zh-CN"/>
              </w:rPr>
              <w:t xml:space="preserve"> 项目废水自行监测计划</w:t>
            </w:r>
          </w:p>
          <w:tbl>
            <w:tblPr>
              <w:tblStyle w:val="22"/>
              <w:tblW w:w="8039"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2676"/>
              <w:gridCol w:w="26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686" w:type="dxa"/>
                  <w:tcBorders>
                    <w:tl2br w:val="nil"/>
                    <w:tr2bl w:val="nil"/>
                  </w:tcBorders>
                  <w:noWrap w:val="0"/>
                  <w:vAlign w:val="center"/>
                </w:tcPr>
                <w:p>
                  <w:pPr>
                    <w:pStyle w:val="28"/>
                    <w:keepNext/>
                    <w:keepLines/>
                    <w:pageBreakBefore w:val="0"/>
                    <w:bidi w:val="0"/>
                    <w:rPr>
                      <w:rFonts w:hint="eastAsia"/>
                      <w:b/>
                      <w:bCs/>
                      <w:color w:val="auto"/>
                      <w:lang w:val="en-US" w:eastAsia="zh-CN" w:bidi="ar-SA"/>
                    </w:rPr>
                  </w:pPr>
                  <w:r>
                    <w:rPr>
                      <w:b/>
                      <w:bCs/>
                      <w:color w:val="auto"/>
                      <w:lang w:val="en-US" w:eastAsia="zh-CN" w:bidi="ar-SA"/>
                    </w:rPr>
                    <w:t>监测点位</w:t>
                  </w:r>
                </w:p>
              </w:tc>
              <w:tc>
                <w:tcPr>
                  <w:tcW w:w="2676" w:type="dxa"/>
                  <w:tcBorders>
                    <w:tl2br w:val="nil"/>
                    <w:tr2bl w:val="nil"/>
                  </w:tcBorders>
                  <w:noWrap w:val="0"/>
                  <w:vAlign w:val="center"/>
                </w:tcPr>
                <w:p>
                  <w:pPr>
                    <w:pStyle w:val="28"/>
                    <w:keepNext/>
                    <w:keepLines/>
                    <w:pageBreakBefore w:val="0"/>
                    <w:bidi w:val="0"/>
                    <w:rPr>
                      <w:rFonts w:hint="eastAsia"/>
                      <w:b/>
                      <w:bCs/>
                      <w:color w:val="auto"/>
                      <w:lang w:val="en-US" w:eastAsia="zh-CN" w:bidi="ar-SA"/>
                    </w:rPr>
                  </w:pPr>
                  <w:r>
                    <w:rPr>
                      <w:b/>
                      <w:bCs/>
                      <w:color w:val="auto"/>
                      <w:lang w:val="en-US" w:eastAsia="zh-CN" w:bidi="ar-SA"/>
                    </w:rPr>
                    <w:t>监测因子</w:t>
                  </w:r>
                </w:p>
              </w:tc>
              <w:tc>
                <w:tcPr>
                  <w:tcW w:w="2677" w:type="dxa"/>
                  <w:tcBorders>
                    <w:tl2br w:val="nil"/>
                    <w:tr2bl w:val="nil"/>
                  </w:tcBorders>
                  <w:noWrap w:val="0"/>
                  <w:vAlign w:val="center"/>
                </w:tcPr>
                <w:p>
                  <w:pPr>
                    <w:pStyle w:val="28"/>
                    <w:keepNext/>
                    <w:keepLines/>
                    <w:pageBreakBefore w:val="0"/>
                    <w:bidi w:val="0"/>
                    <w:rPr>
                      <w:rFonts w:hint="eastAsia"/>
                      <w:b/>
                      <w:bCs/>
                      <w:color w:val="auto"/>
                      <w:lang w:val="en-US" w:eastAsia="zh-CN" w:bidi="ar-SA"/>
                    </w:rPr>
                  </w:pPr>
                  <w:r>
                    <w:rPr>
                      <w:b/>
                      <w:bCs/>
                      <w:color w:val="auto"/>
                      <w:lang w:val="en-US" w:eastAsia="zh-CN" w:bidi="ar-SA"/>
                    </w:rPr>
                    <w:t>监测频次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00" w:hRule="atLeast"/>
              </w:trPr>
              <w:tc>
                <w:tcPr>
                  <w:tcW w:w="2686" w:type="dxa"/>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综合废水总排口（</w:t>
                  </w:r>
                  <w:r>
                    <w:rPr>
                      <w:rFonts w:hint="default"/>
                      <w:color w:val="auto"/>
                      <w:lang w:val="en-US" w:eastAsia="zh-CN" w:bidi="ar-SA"/>
                    </w:rPr>
                    <w:t>DW001</w:t>
                  </w:r>
                  <w:r>
                    <w:rPr>
                      <w:rFonts w:hint="eastAsia"/>
                      <w:color w:val="auto"/>
                      <w:lang w:val="en-US" w:eastAsia="zh-CN" w:bidi="ar-SA"/>
                    </w:rPr>
                    <w:t>）</w:t>
                  </w:r>
                </w:p>
              </w:tc>
              <w:tc>
                <w:tcPr>
                  <w:tcW w:w="2676" w:type="dxa"/>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pH、COD、BOD</w:t>
                  </w:r>
                  <w:r>
                    <w:rPr>
                      <w:rFonts w:hint="eastAsia"/>
                      <w:color w:val="auto"/>
                      <w:vertAlign w:val="subscript"/>
                      <w:lang w:val="en-US" w:eastAsia="zh-CN" w:bidi="ar-SA"/>
                    </w:rPr>
                    <w:t>5</w:t>
                  </w:r>
                  <w:r>
                    <w:rPr>
                      <w:rFonts w:hint="eastAsia"/>
                      <w:color w:val="auto"/>
                      <w:lang w:val="en-US" w:eastAsia="zh-CN" w:bidi="ar-SA"/>
                    </w:rPr>
                    <w:t>、SS、氨氮、动植物油</w:t>
                  </w:r>
                </w:p>
              </w:tc>
              <w:tc>
                <w:tcPr>
                  <w:tcW w:w="2677" w:type="dxa"/>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default"/>
                      <w:color w:val="auto"/>
                      <w:lang w:val="en-US" w:eastAsia="zh-CN" w:bidi="ar-SA"/>
                    </w:rPr>
                    <w:t xml:space="preserve">1 </w:t>
                  </w:r>
                  <w:r>
                    <w:rPr>
                      <w:color w:val="auto"/>
                      <w:lang w:val="en-US" w:eastAsia="zh-CN" w:bidi="ar-SA"/>
                    </w:rPr>
                    <w:t>次</w:t>
                  </w:r>
                  <w:r>
                    <w:rPr>
                      <w:rFonts w:hint="default"/>
                      <w:color w:val="auto"/>
                      <w:lang w:val="en-US" w:eastAsia="zh-CN" w:bidi="ar-SA"/>
                    </w:rPr>
                    <w:t>/年</w:t>
                  </w:r>
                </w:p>
              </w:tc>
            </w:tr>
          </w:tbl>
          <w:p>
            <w:pPr>
              <w:keepNext/>
              <w:keepLines/>
              <w:pageBreakBefore w:val="0"/>
              <w:bidi w:val="0"/>
              <w:spacing w:line="360" w:lineRule="auto"/>
              <w:ind w:firstLine="482"/>
              <w:rPr>
                <w:rFonts w:hint="eastAsia" w:ascii="Times New Roman" w:hAnsi="Times New Roman" w:eastAsia="宋体" w:cs="Times New Roman"/>
                <w:color w:val="auto"/>
                <w:kern w:val="0"/>
                <w:sz w:val="24"/>
              </w:rPr>
            </w:pPr>
            <w:r>
              <w:rPr>
                <w:rFonts w:hint="eastAsia" w:cs="Times New Roman"/>
                <w:b/>
                <w:bCs/>
                <w:color w:val="auto"/>
                <w:kern w:val="0"/>
                <w:sz w:val="24"/>
                <w:lang w:val="en-US" w:eastAsia="zh-CN"/>
              </w:rPr>
              <w:t>三、</w:t>
            </w:r>
            <w:r>
              <w:rPr>
                <w:rFonts w:hint="eastAsia" w:ascii="Times New Roman" w:hAnsi="Times New Roman" w:eastAsia="宋体" w:cs="Times New Roman"/>
                <w:b/>
                <w:bCs/>
                <w:color w:val="auto"/>
                <w:kern w:val="0"/>
                <w:sz w:val="24"/>
                <w:lang w:val="en-US" w:eastAsia="zh-CN"/>
              </w:rPr>
              <w:t xml:space="preserve">运营期声环境影响和保护措施 </w:t>
            </w:r>
            <w:r>
              <w:rPr>
                <w:rFonts w:hint="eastAsia" w:ascii="Times New Roman" w:hAnsi="Times New Roman" w:eastAsia="宋体" w:cs="Times New Roman"/>
                <w:color w:val="auto"/>
                <w:kern w:val="0"/>
                <w:sz w:val="24"/>
                <w:lang w:val="en-US" w:eastAsia="zh-CN"/>
              </w:rPr>
              <w:t xml:space="preserve"> </w:t>
            </w:r>
          </w:p>
          <w:p>
            <w:pPr>
              <w:keepNext/>
              <w:keepLines/>
              <w:pageBreakBefore w:val="0"/>
              <w:bidi w:val="0"/>
              <w:spacing w:line="360" w:lineRule="auto"/>
              <w:ind w:firstLine="482"/>
              <w:rPr>
                <w:rFonts w:hint="eastAsia" w:ascii="Times New Roman" w:hAnsi="Times New Roman" w:eastAsia="宋体" w:cs="Times New Roman"/>
                <w:b/>
                <w:bCs/>
                <w:color w:val="auto"/>
                <w:kern w:val="0"/>
                <w:sz w:val="24"/>
              </w:rPr>
            </w:pPr>
            <w:r>
              <w:rPr>
                <w:rFonts w:hint="eastAsia" w:ascii="Times New Roman" w:hAnsi="Times New Roman" w:eastAsia="宋体" w:cs="Times New Roman"/>
                <w:b/>
                <w:bCs/>
                <w:color w:val="auto"/>
                <w:kern w:val="0"/>
                <w:sz w:val="24"/>
                <w:lang w:val="en-US" w:eastAsia="zh-CN"/>
              </w:rPr>
              <w:t>（1）</w:t>
            </w:r>
            <w:r>
              <w:rPr>
                <w:rFonts w:hint="default" w:ascii="Times New Roman" w:hAnsi="Times New Roman" w:eastAsia="宋体" w:cs="Times New Roman"/>
                <w:b/>
                <w:bCs/>
                <w:color w:val="auto"/>
                <w:kern w:val="0"/>
                <w:sz w:val="24"/>
                <w:lang w:val="en-US" w:eastAsia="zh-CN"/>
              </w:rPr>
              <w:t xml:space="preserve">源强 </w:t>
            </w:r>
          </w:p>
          <w:p>
            <w:pPr>
              <w:keepNext/>
              <w:keepLines/>
              <w:pageBreakBefore w:val="0"/>
              <w:bidi w:val="0"/>
              <w:spacing w:line="360" w:lineRule="auto"/>
              <w:ind w:firstLine="482"/>
              <w:rPr>
                <w:rFonts w:hint="default" w:ascii="Times New Roman" w:hAnsi="Times New Roman" w:eastAsia="宋体" w:cs="Times New Roman"/>
                <w:color w:val="auto"/>
                <w:kern w:val="0"/>
                <w:sz w:val="24"/>
                <w:lang w:val="en-US"/>
              </w:rPr>
            </w:pPr>
            <w:r>
              <w:rPr>
                <w:rFonts w:hint="default" w:ascii="Times New Roman" w:hAnsi="Times New Roman" w:eastAsia="宋体" w:cs="Times New Roman"/>
                <w:color w:val="auto"/>
                <w:kern w:val="0"/>
                <w:sz w:val="24"/>
                <w:lang w:val="en-US" w:eastAsia="zh-CN"/>
              </w:rPr>
              <w:t>本项目主要噪声源为锅炉房</w:t>
            </w:r>
            <w:r>
              <w:rPr>
                <w:rFonts w:hint="eastAsia" w:cs="Times New Roman"/>
                <w:color w:val="auto"/>
                <w:kern w:val="0"/>
                <w:sz w:val="24"/>
                <w:lang w:val="en-US" w:eastAsia="zh-CN"/>
              </w:rPr>
              <w:t>、</w:t>
            </w:r>
            <w:r>
              <w:rPr>
                <w:rFonts w:hint="default" w:ascii="Times New Roman" w:hAnsi="Times New Roman" w:eastAsia="宋体" w:cs="Times New Roman"/>
                <w:color w:val="auto"/>
                <w:kern w:val="0"/>
                <w:sz w:val="24"/>
                <w:lang w:val="en-US" w:eastAsia="zh-CN"/>
              </w:rPr>
              <w:t>水房泵</w:t>
            </w:r>
            <w:r>
              <w:rPr>
                <w:rFonts w:hint="eastAsia" w:cs="Times New Roman"/>
                <w:color w:val="auto"/>
                <w:kern w:val="0"/>
                <w:sz w:val="24"/>
                <w:lang w:val="en-US" w:eastAsia="zh-CN"/>
              </w:rPr>
              <w:t>、</w:t>
            </w:r>
            <w:r>
              <w:rPr>
                <w:rFonts w:hint="default" w:ascii="Times New Roman" w:hAnsi="Times New Roman" w:eastAsia="宋体" w:cs="Times New Roman"/>
                <w:color w:val="auto"/>
                <w:kern w:val="0"/>
                <w:sz w:val="24"/>
                <w:lang w:val="en-US" w:eastAsia="zh-CN"/>
              </w:rPr>
              <w:t>配电室、风机、校内车辆、社会生活等噪声，噪声源强在60～</w:t>
            </w:r>
            <w:r>
              <w:rPr>
                <w:rFonts w:hint="eastAsia" w:cs="Times New Roman"/>
                <w:color w:val="auto"/>
                <w:kern w:val="0"/>
                <w:sz w:val="24"/>
                <w:lang w:val="en-US" w:eastAsia="zh-CN"/>
              </w:rPr>
              <w:t>85</w:t>
            </w:r>
            <w:r>
              <w:rPr>
                <w:rFonts w:hint="default" w:ascii="Times New Roman" w:hAnsi="Times New Roman" w:eastAsia="宋体" w:cs="Times New Roman"/>
                <w:color w:val="auto"/>
                <w:kern w:val="0"/>
                <w:sz w:val="24"/>
                <w:lang w:val="en-US" w:eastAsia="zh-CN"/>
              </w:rPr>
              <w:t>dB(A)之间。本项目主要噪声源及源强，具体见表4-</w:t>
            </w:r>
            <w:r>
              <w:rPr>
                <w:rFonts w:hint="eastAsia" w:cs="Times New Roman"/>
                <w:color w:val="auto"/>
                <w:kern w:val="0"/>
                <w:sz w:val="24"/>
                <w:lang w:val="en-US" w:eastAsia="zh-CN"/>
              </w:rPr>
              <w:t>7。</w:t>
            </w:r>
          </w:p>
          <w:p>
            <w:pPr>
              <w:keepNext/>
              <w:keepLines/>
              <w:pageBreakBefore w:val="0"/>
              <w:bidi w:val="0"/>
              <w:spacing w:line="240" w:lineRule="auto"/>
              <w:ind w:firstLine="482"/>
              <w:jc w:val="center"/>
              <w:rPr>
                <w:b/>
                <w:bCs/>
                <w:color w:val="auto"/>
              </w:rPr>
            </w:pPr>
            <w:r>
              <w:rPr>
                <w:rFonts w:hint="eastAsia"/>
                <w:b/>
                <w:bCs/>
                <w:color w:val="auto"/>
                <w:sz w:val="24"/>
                <w:szCs w:val="24"/>
              </w:rPr>
              <w:t>表</w:t>
            </w:r>
            <w:r>
              <w:rPr>
                <w:rFonts w:hint="eastAsia"/>
                <w:b/>
                <w:bCs/>
                <w:color w:val="auto"/>
                <w:sz w:val="24"/>
                <w:szCs w:val="24"/>
                <w:lang w:val="en-US" w:eastAsia="zh-CN"/>
              </w:rPr>
              <w:t>4</w:t>
            </w:r>
            <w:r>
              <w:rPr>
                <w:rFonts w:hint="eastAsia"/>
                <w:b/>
                <w:bCs/>
                <w:color w:val="auto"/>
                <w:sz w:val="24"/>
                <w:szCs w:val="24"/>
              </w:rPr>
              <w:t>-</w:t>
            </w:r>
            <w:r>
              <w:rPr>
                <w:rFonts w:hint="eastAsia"/>
                <w:b/>
                <w:bCs/>
                <w:color w:val="auto"/>
                <w:sz w:val="24"/>
                <w:szCs w:val="24"/>
                <w:lang w:val="en-US" w:eastAsia="zh-CN"/>
              </w:rPr>
              <w:t>7</w:t>
            </w:r>
            <w:r>
              <w:rPr>
                <w:rFonts w:hint="eastAsia"/>
                <w:b/>
                <w:bCs/>
                <w:color w:val="auto"/>
                <w:sz w:val="24"/>
                <w:szCs w:val="24"/>
              </w:rPr>
              <w:t xml:space="preserve">  项目主要设备噪声源强及治理措施一览表   单位：dB（A）</w:t>
            </w:r>
          </w:p>
          <w:tbl>
            <w:tblPr>
              <w:tblStyle w:val="21"/>
              <w:tblW w:w="486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847"/>
              <w:gridCol w:w="1137"/>
              <w:gridCol w:w="2952"/>
              <w:gridCol w:w="10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b/>
                      <w:bCs/>
                      <w:color w:val="auto"/>
                      <w:szCs w:val="21"/>
                    </w:rPr>
                  </w:pPr>
                  <w:r>
                    <w:rPr>
                      <w:rFonts w:hint="eastAsia"/>
                      <w:b/>
                      <w:bCs/>
                      <w:color w:val="auto"/>
                      <w:szCs w:val="21"/>
                    </w:rPr>
                    <w:t>序号</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b/>
                      <w:bCs/>
                      <w:color w:val="auto"/>
                      <w:szCs w:val="21"/>
                    </w:rPr>
                  </w:pPr>
                  <w:r>
                    <w:rPr>
                      <w:b/>
                      <w:bCs/>
                      <w:color w:val="auto"/>
                      <w:szCs w:val="21"/>
                    </w:rPr>
                    <w:t>噪声源</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1" w:leftChars="-95" w:right="-204" w:rightChars="-97" w:hanging="200" w:hangingChars="95"/>
                    <w:jc w:val="center"/>
                    <w:textAlignment w:val="auto"/>
                    <w:rPr>
                      <w:rFonts w:hint="eastAsia" w:eastAsia="宋体"/>
                      <w:b/>
                      <w:bCs/>
                      <w:color w:val="auto"/>
                      <w:szCs w:val="21"/>
                      <w:lang w:eastAsia="zh-CN"/>
                    </w:rPr>
                  </w:pPr>
                  <w:r>
                    <w:rPr>
                      <w:rFonts w:hint="eastAsia"/>
                      <w:b/>
                      <w:bCs/>
                      <w:color w:val="auto"/>
                      <w:szCs w:val="21"/>
                      <w:lang w:eastAsia="zh-CN"/>
                    </w:rPr>
                    <w:t>等效声级</w:t>
                  </w:r>
                </w:p>
              </w:tc>
              <w:tc>
                <w:tcPr>
                  <w:tcW w:w="1917"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b/>
                      <w:bCs/>
                      <w:color w:val="auto"/>
                      <w:szCs w:val="21"/>
                    </w:rPr>
                  </w:pPr>
                  <w:r>
                    <w:rPr>
                      <w:b/>
                      <w:bCs/>
                      <w:color w:val="auto"/>
                      <w:szCs w:val="21"/>
                    </w:rPr>
                    <w:t>降噪措施</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2" w:leftChars="-200" w:right="-445" w:rightChars="-212" w:hanging="422" w:hangingChars="200"/>
                    <w:jc w:val="center"/>
                    <w:textAlignment w:val="auto"/>
                    <w:rPr>
                      <w:b/>
                      <w:bCs/>
                      <w:color w:val="auto"/>
                      <w:szCs w:val="21"/>
                    </w:rPr>
                  </w:pPr>
                  <w:r>
                    <w:rPr>
                      <w:rFonts w:hint="eastAsia"/>
                      <w:b/>
                      <w:bCs/>
                      <w:color w:val="auto"/>
                      <w:szCs w:val="21"/>
                    </w:rPr>
                    <w:t>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olor w:val="auto"/>
                      <w:szCs w:val="21"/>
                    </w:rPr>
                    <w:t>1</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default" w:ascii="Times New Roman" w:hAnsi="Times New Roman" w:eastAsia="宋体" w:cs="Times New Roman"/>
                      <w:color w:val="auto"/>
                      <w:sz w:val="21"/>
                      <w:szCs w:val="21"/>
                      <w:vertAlign w:val="baseline"/>
                      <w:lang w:val="en-US" w:eastAsia="zh-CN"/>
                    </w:rPr>
                    <w:t>锅炉房</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olor w:val="auto"/>
                      <w:lang w:val="en-US" w:eastAsia="zh-CN"/>
                    </w:rPr>
                    <w:t>75-85</w:t>
                  </w:r>
                </w:p>
              </w:tc>
              <w:tc>
                <w:tcPr>
                  <w:tcW w:w="1917"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olor w:val="auto"/>
                      <w:szCs w:val="21"/>
                      <w:lang w:eastAsia="zh-CN"/>
                    </w:rPr>
                  </w:pPr>
                  <w:r>
                    <w:rPr>
                      <w:rFonts w:eastAsia="宋体"/>
                      <w:color w:val="auto"/>
                      <w:sz w:val="21"/>
                      <w:szCs w:val="21"/>
                    </w:rPr>
                    <w:t>基础减震</w:t>
                  </w:r>
                  <w:r>
                    <w:rPr>
                      <w:color w:val="auto"/>
                      <w:sz w:val="21"/>
                      <w:szCs w:val="21"/>
                    </w:rPr>
                    <w:t>、</w:t>
                  </w:r>
                  <w:r>
                    <w:rPr>
                      <w:rFonts w:hint="eastAsia"/>
                      <w:color w:val="auto"/>
                      <w:sz w:val="21"/>
                      <w:szCs w:val="21"/>
                    </w:rPr>
                    <w:t>隔声</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0" w:leftChars="-200" w:right="-445" w:rightChars="-212" w:hanging="420" w:hangingChars="200"/>
                    <w:jc w:val="center"/>
                    <w:textAlignment w:val="auto"/>
                    <w:rPr>
                      <w:color w:val="auto"/>
                      <w:szCs w:val="21"/>
                    </w:rPr>
                  </w:pPr>
                  <w:r>
                    <w:rPr>
                      <w:rFonts w:hint="eastAsia"/>
                      <w:color w:val="auto"/>
                      <w:szCs w:val="21"/>
                      <w:lang w:eastAsia="zh-CN"/>
                    </w:rPr>
                    <w:t>间断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olor w:val="auto"/>
                      <w:szCs w:val="21"/>
                    </w:rPr>
                    <w:t>2</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s="Times New Roman"/>
                      <w:color w:val="auto"/>
                      <w:sz w:val="21"/>
                      <w:szCs w:val="21"/>
                      <w:vertAlign w:val="baseline"/>
                      <w:lang w:val="en-US" w:eastAsia="zh-CN"/>
                    </w:rPr>
                    <w:t>水泵房</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olor w:val="auto"/>
                      <w:lang w:val="en-US" w:eastAsia="zh-CN"/>
                    </w:rPr>
                    <w:t>75-80</w:t>
                  </w:r>
                </w:p>
              </w:tc>
              <w:tc>
                <w:tcPr>
                  <w:tcW w:w="1917"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auto"/>
                      <w:szCs w:val="21"/>
                    </w:rPr>
                  </w:pPr>
                  <w:r>
                    <w:rPr>
                      <w:rFonts w:eastAsia="宋体"/>
                      <w:color w:val="auto"/>
                      <w:sz w:val="21"/>
                      <w:szCs w:val="21"/>
                    </w:rPr>
                    <w:t>基础减震</w:t>
                  </w:r>
                  <w:r>
                    <w:rPr>
                      <w:color w:val="auto"/>
                      <w:sz w:val="21"/>
                      <w:szCs w:val="21"/>
                    </w:rPr>
                    <w:t>、</w:t>
                  </w:r>
                  <w:r>
                    <w:rPr>
                      <w:rFonts w:hint="eastAsia"/>
                      <w:color w:val="auto"/>
                      <w:sz w:val="21"/>
                      <w:szCs w:val="21"/>
                    </w:rPr>
                    <w:t>隔声</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0" w:leftChars="-200" w:right="-445" w:rightChars="-212" w:hanging="420" w:hangingChars="200"/>
                    <w:jc w:val="center"/>
                    <w:textAlignment w:val="auto"/>
                    <w:rPr>
                      <w:color w:val="auto"/>
                      <w:szCs w:val="21"/>
                    </w:rPr>
                  </w:pPr>
                  <w:r>
                    <w:rPr>
                      <w:rFonts w:hint="eastAsia"/>
                      <w:color w:val="auto"/>
                      <w:szCs w:val="21"/>
                      <w:lang w:eastAsia="zh-CN"/>
                    </w:rPr>
                    <w:t>间断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olor w:val="auto"/>
                      <w:szCs w:val="21"/>
                    </w:rPr>
                    <w:t>3</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color w:val="auto"/>
                      <w:szCs w:val="21"/>
                    </w:rPr>
                  </w:pPr>
                  <w:r>
                    <w:rPr>
                      <w:rFonts w:hint="eastAsia" w:cs="Times New Roman"/>
                      <w:color w:val="auto"/>
                      <w:sz w:val="21"/>
                      <w:szCs w:val="21"/>
                      <w:vertAlign w:val="baseline"/>
                      <w:lang w:val="en-US" w:eastAsia="zh-CN"/>
                    </w:rPr>
                    <w:t>变电所</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Cs w:val="21"/>
                      <w:lang w:val="en-US" w:eastAsia="zh-CN"/>
                    </w:rPr>
                  </w:pPr>
                  <w:r>
                    <w:rPr>
                      <w:rFonts w:hint="eastAsia"/>
                      <w:color w:val="auto"/>
                      <w:lang w:val="en-US" w:eastAsia="zh-CN"/>
                    </w:rPr>
                    <w:t>60-65</w:t>
                  </w:r>
                </w:p>
              </w:tc>
              <w:tc>
                <w:tcPr>
                  <w:tcW w:w="1917" w:type="pct"/>
                  <w:tcBorders>
                    <w:tl2br w:val="nil"/>
                    <w:tr2bl w:val="nil"/>
                  </w:tcBorders>
                  <w:noWrap w:val="0"/>
                  <w:vAlign w:val="center"/>
                </w:tcPr>
                <w:p>
                  <w:pPr>
                    <w:keepNext/>
                    <w:keepLines/>
                    <w:pageBreakBefore w:val="0"/>
                    <w:widowControl w:val="0"/>
                    <w:tabs>
                      <w:tab w:val="left" w:pos="456"/>
                    </w:tabs>
                    <w:kinsoku/>
                    <w:wordWrap/>
                    <w:overflowPunct/>
                    <w:topLinePunct w:val="0"/>
                    <w:autoSpaceDE/>
                    <w:autoSpaceDN/>
                    <w:bidi w:val="0"/>
                    <w:adjustRightInd/>
                    <w:snapToGrid/>
                    <w:spacing w:line="240" w:lineRule="auto"/>
                    <w:ind w:firstLine="0" w:firstLineChars="0"/>
                    <w:jc w:val="center"/>
                    <w:textAlignment w:val="auto"/>
                    <w:rPr>
                      <w:rFonts w:hint="eastAsia" w:eastAsia="宋体"/>
                      <w:color w:val="auto"/>
                      <w:szCs w:val="21"/>
                      <w:lang w:eastAsia="zh-CN"/>
                    </w:rPr>
                  </w:pPr>
                  <w:r>
                    <w:rPr>
                      <w:rFonts w:hint="eastAsia"/>
                      <w:color w:val="auto"/>
                      <w:szCs w:val="21"/>
                      <w:lang w:eastAsia="zh-CN"/>
                    </w:rPr>
                    <w:t>基础减震、隔声</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0" w:leftChars="-200" w:right="-445" w:rightChars="-212" w:hanging="420" w:hangingChars="200"/>
                    <w:jc w:val="center"/>
                    <w:textAlignment w:val="auto"/>
                    <w:rPr>
                      <w:color w:val="auto"/>
                      <w:szCs w:val="21"/>
                    </w:rPr>
                  </w:pPr>
                  <w:r>
                    <w:rPr>
                      <w:rFonts w:hint="eastAsia"/>
                      <w:color w:val="auto"/>
                      <w:szCs w:val="21"/>
                      <w:lang w:eastAsia="zh-CN"/>
                    </w:rPr>
                    <w:t>间断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olor w:val="auto"/>
                      <w:szCs w:val="21"/>
                      <w:lang w:val="en-US" w:eastAsia="zh-CN"/>
                    </w:rPr>
                  </w:pPr>
                  <w:r>
                    <w:rPr>
                      <w:rFonts w:hint="eastAsia"/>
                      <w:color w:val="auto"/>
                      <w:szCs w:val="21"/>
                      <w:lang w:val="en-US" w:eastAsia="zh-CN"/>
                    </w:rPr>
                    <w:t>4</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color w:val="auto"/>
                      <w:szCs w:val="21"/>
                    </w:rPr>
                  </w:pPr>
                  <w:r>
                    <w:rPr>
                      <w:rFonts w:hint="eastAsia" w:cs="Times New Roman"/>
                      <w:color w:val="auto"/>
                      <w:sz w:val="21"/>
                      <w:szCs w:val="21"/>
                      <w:vertAlign w:val="baseline"/>
                      <w:lang w:val="en-US" w:eastAsia="zh-CN"/>
                    </w:rPr>
                    <w:t>风机</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eastAsia="宋体"/>
                      <w:color w:val="auto"/>
                      <w:szCs w:val="21"/>
                      <w:lang w:val="en-US" w:eastAsia="zh-CN"/>
                    </w:rPr>
                  </w:pPr>
                  <w:r>
                    <w:rPr>
                      <w:rFonts w:hint="eastAsia" w:cs="Times New Roman"/>
                      <w:color w:val="auto"/>
                      <w:sz w:val="21"/>
                      <w:szCs w:val="21"/>
                      <w:vertAlign w:val="baseline"/>
                      <w:lang w:val="en-US" w:eastAsia="zh-CN"/>
                    </w:rPr>
                    <w:t>70-80</w:t>
                  </w:r>
                </w:p>
              </w:tc>
              <w:tc>
                <w:tcPr>
                  <w:tcW w:w="1917"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olor w:val="auto"/>
                      <w:szCs w:val="21"/>
                      <w:lang w:val="en-US" w:eastAsia="zh-CN"/>
                    </w:rPr>
                  </w:pPr>
                  <w:r>
                    <w:rPr>
                      <w:rFonts w:hint="eastAsia"/>
                      <w:color w:val="auto"/>
                      <w:szCs w:val="21"/>
                      <w:lang w:val="en-US" w:eastAsia="zh-CN"/>
                    </w:rPr>
                    <w:t>基础减震、隔声</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0" w:leftChars="-200" w:right="-445" w:rightChars="-212" w:hanging="420" w:hangingChars="200"/>
                    <w:jc w:val="center"/>
                    <w:textAlignment w:val="auto"/>
                    <w:rPr>
                      <w:rFonts w:hint="eastAsia"/>
                      <w:color w:val="auto"/>
                      <w:szCs w:val="21"/>
                    </w:rPr>
                  </w:pPr>
                  <w:r>
                    <w:rPr>
                      <w:rFonts w:hint="eastAsia"/>
                      <w:color w:val="auto"/>
                      <w:szCs w:val="21"/>
                      <w:lang w:eastAsia="zh-CN"/>
                    </w:rPr>
                    <w:t>间断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8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color w:val="auto"/>
                      <w:szCs w:val="21"/>
                      <w:lang w:val="en-US" w:eastAsia="zh-CN"/>
                    </w:rPr>
                  </w:pPr>
                  <w:r>
                    <w:rPr>
                      <w:rFonts w:hint="eastAsia"/>
                      <w:color w:val="auto"/>
                      <w:szCs w:val="21"/>
                      <w:lang w:val="en-US" w:eastAsia="zh-CN"/>
                    </w:rPr>
                    <w:t>5</w:t>
                  </w:r>
                </w:p>
              </w:tc>
              <w:tc>
                <w:tcPr>
                  <w:tcW w:w="1199"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color w:val="auto"/>
                      <w:szCs w:val="21"/>
                      <w:lang w:val="en-US" w:eastAsia="zh-CN"/>
                    </w:rPr>
                  </w:pPr>
                  <w:r>
                    <w:rPr>
                      <w:rFonts w:hint="eastAsia" w:cs="Times New Roman"/>
                      <w:color w:val="auto"/>
                      <w:sz w:val="21"/>
                      <w:szCs w:val="21"/>
                      <w:vertAlign w:val="baseline"/>
                      <w:lang w:val="en-US" w:eastAsia="zh-CN"/>
                    </w:rPr>
                    <w:t>校内车辆</w:t>
                  </w:r>
                </w:p>
              </w:tc>
              <w:tc>
                <w:tcPr>
                  <w:tcW w:w="738"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color w:val="auto"/>
                      <w:sz w:val="21"/>
                      <w:szCs w:val="21"/>
                      <w:lang w:val="en-US" w:eastAsia="zh-CN"/>
                    </w:rPr>
                  </w:pPr>
                  <w:r>
                    <w:rPr>
                      <w:rFonts w:hint="eastAsia" w:cs="Times New Roman"/>
                      <w:color w:val="auto"/>
                      <w:sz w:val="21"/>
                      <w:szCs w:val="21"/>
                      <w:vertAlign w:val="baseline"/>
                      <w:lang w:val="en-US" w:eastAsia="zh-CN"/>
                    </w:rPr>
                    <w:t>65-70</w:t>
                  </w:r>
                </w:p>
              </w:tc>
              <w:tc>
                <w:tcPr>
                  <w:tcW w:w="1917"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olor w:val="auto"/>
                      <w:szCs w:val="21"/>
                      <w:lang w:val="en-US" w:eastAsia="zh-CN"/>
                    </w:rPr>
                  </w:pPr>
                  <w:r>
                    <w:rPr>
                      <w:rFonts w:hint="eastAsia"/>
                      <w:color w:val="auto"/>
                      <w:szCs w:val="21"/>
                      <w:lang w:val="en-US" w:eastAsia="zh-CN"/>
                    </w:rPr>
                    <w:t>减速慢行</w:t>
                  </w:r>
                </w:p>
              </w:tc>
              <w:tc>
                <w:tcPr>
                  <w:tcW w:w="654" w:type="pct"/>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ind w:left="0" w:leftChars="-200" w:right="-445" w:rightChars="-212" w:hanging="420" w:hangingChars="200"/>
                    <w:jc w:val="center"/>
                    <w:textAlignment w:val="auto"/>
                    <w:rPr>
                      <w:rFonts w:hint="eastAsia"/>
                      <w:color w:val="auto"/>
                      <w:szCs w:val="21"/>
                      <w:lang w:eastAsia="zh-CN"/>
                    </w:rPr>
                  </w:pPr>
                  <w:r>
                    <w:rPr>
                      <w:rFonts w:hint="eastAsia"/>
                      <w:color w:val="auto"/>
                      <w:szCs w:val="21"/>
                      <w:lang w:eastAsia="zh-CN"/>
                    </w:rPr>
                    <w:t>间断</w:t>
                  </w:r>
                </w:p>
              </w:tc>
            </w:tr>
          </w:tbl>
          <w:p>
            <w:pPr>
              <w:keepNext/>
              <w:keepLines/>
              <w:pageBreakBefore w:val="0"/>
              <w:bidi w:val="0"/>
              <w:spacing w:line="360" w:lineRule="auto"/>
              <w:ind w:firstLine="482"/>
              <w:rPr>
                <w:rFonts w:hint="eastAsia" w:eastAsia="宋体"/>
                <w:b/>
                <w:bCs/>
                <w:color w:val="auto"/>
                <w:kern w:val="0"/>
                <w:sz w:val="24"/>
                <w:lang w:eastAsia="zh-CN"/>
              </w:rPr>
            </w:pPr>
            <w:r>
              <w:rPr>
                <w:rFonts w:hint="eastAsia"/>
                <w:b/>
                <w:bCs/>
                <w:color w:val="auto"/>
                <w:kern w:val="0"/>
                <w:sz w:val="24"/>
                <w:lang w:eastAsia="zh-CN"/>
              </w:rPr>
              <w:t>（</w:t>
            </w:r>
            <w:r>
              <w:rPr>
                <w:rFonts w:hint="eastAsia"/>
                <w:b/>
                <w:bCs/>
                <w:color w:val="auto"/>
                <w:kern w:val="0"/>
                <w:sz w:val="24"/>
                <w:lang w:val="en-US" w:eastAsia="zh-CN"/>
              </w:rPr>
              <w:t>2</w:t>
            </w:r>
            <w:r>
              <w:rPr>
                <w:rFonts w:hint="eastAsia"/>
                <w:b/>
                <w:bCs/>
                <w:color w:val="auto"/>
                <w:kern w:val="0"/>
                <w:sz w:val="24"/>
                <w:lang w:eastAsia="zh-CN"/>
              </w:rPr>
              <w:t>）噪声影响分析</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根据项目建设内容及《环境影响评价技术导则—声环境》（HJ2.4-2021）的要求，项目环评采用的模型为《环境影响评价技术导则 声环境》(HJ2.4.2021)附录A（规范性附录）户外声传播的衰减和附录B（规范性附录）中“B.1噪声预测计算模型”。</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具体如下：</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①点声源的几何发散衰减公式</w:t>
            </w:r>
          </w:p>
          <w:p>
            <w:pPr>
              <w:keepNext/>
              <w:keepLines/>
              <w:pageBreakBefore w:val="0"/>
              <w:wordWrap w:val="0"/>
              <w:topLinePunct/>
              <w:bidi w:val="0"/>
              <w:spacing w:line="360" w:lineRule="auto"/>
              <w:ind w:firstLine="480" w:firstLineChars="200"/>
              <w:jc w:val="center"/>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Lp(r)=Lp (r</w:t>
            </w:r>
            <w:r>
              <w:rPr>
                <w:rFonts w:hint="eastAsia" w:ascii="Times New Roman" w:hAnsi="Times New Roman" w:eastAsia="宋体" w:cs="Times New Roman"/>
                <w:color w:val="auto"/>
                <w:sz w:val="24"/>
                <w:vertAlign w:val="subscript"/>
                <w:lang w:val="en-US" w:eastAsia="zh-CN" w:bidi="ar-SA"/>
              </w:rPr>
              <w:t>0</w:t>
            </w:r>
            <w:r>
              <w:rPr>
                <w:rFonts w:hint="eastAsia" w:ascii="Times New Roman" w:hAnsi="Times New Roman" w:eastAsia="宋体" w:cs="Times New Roman"/>
                <w:color w:val="auto"/>
                <w:sz w:val="24"/>
                <w:lang w:val="en-US" w:eastAsia="zh-CN" w:bidi="ar-SA"/>
              </w:rPr>
              <w:t>)-Adiv</w:t>
            </w:r>
          </w:p>
          <w:p>
            <w:pPr>
              <w:keepNext/>
              <w:keepLines/>
              <w:pageBreakBefore w:val="0"/>
              <w:wordWrap w:val="0"/>
              <w:topLinePunct/>
              <w:bidi w:val="0"/>
              <w:spacing w:line="360" w:lineRule="auto"/>
              <w:ind w:firstLine="480" w:firstLineChars="200"/>
              <w:jc w:val="center"/>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Adiv=20lg(r/r</w:t>
            </w:r>
            <w:r>
              <w:rPr>
                <w:rFonts w:hint="eastAsia" w:ascii="Times New Roman" w:hAnsi="Times New Roman" w:eastAsia="宋体" w:cs="Times New Roman"/>
                <w:color w:val="auto"/>
                <w:sz w:val="24"/>
                <w:vertAlign w:val="subscript"/>
                <w:lang w:val="en-US" w:eastAsia="zh-CN" w:bidi="ar-SA"/>
              </w:rPr>
              <w:t>0</w:t>
            </w:r>
            <w:r>
              <w:rPr>
                <w:rFonts w:hint="eastAsia" w:ascii="Times New Roman" w:hAnsi="Times New Roman" w:eastAsia="宋体" w:cs="Times New Roman"/>
                <w:color w:val="auto"/>
                <w:sz w:val="24"/>
                <w:lang w:val="en-US" w:eastAsia="zh-CN" w:bidi="ar-SA"/>
              </w:rPr>
              <w:t>)</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式中：Lp(r)—预测点处声压级，dB；</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Lp(r0)—参考位置r0处的声压级，dB；</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r —预测点距声源的距离；</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r0—参考位置距声源的距离；</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Adiv—几何发散引起的衰减，dB；</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r0=1.0米，r为噪声源至预测点距离。</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②噪声贡献值计算公式</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建设项目自身声源在预测点产生的声级。</w:t>
            </w:r>
          </w:p>
          <w:p>
            <w:pPr>
              <w:keepNext/>
              <w:keepLines/>
              <w:pageBreakBefore w:val="0"/>
              <w:wordWrap w:val="0"/>
              <w:topLinePunct/>
              <w:bidi w:val="0"/>
              <w:spacing w:line="360" w:lineRule="auto"/>
              <w:ind w:firstLine="480" w:firstLineChars="200"/>
              <w:jc w:val="center"/>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drawing>
                <wp:inline distT="0" distB="0" distL="114300" distR="114300">
                  <wp:extent cx="1916430" cy="453390"/>
                  <wp:effectExtent l="0" t="0" r="7620" b="381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916430" cy="453390"/>
                          </a:xfrm>
                          <a:prstGeom prst="rect">
                            <a:avLst/>
                          </a:prstGeom>
                          <a:noFill/>
                          <a:ln>
                            <a:noFill/>
                          </a:ln>
                        </pic:spPr>
                      </pic:pic>
                    </a:graphicData>
                  </a:graphic>
                </wp:inline>
              </w:drawing>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式中：Leqg—噪声贡献值，dB；</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T—预测计算的时间段，s；</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ti—i声源在T 时段内的运行时间，s；</w:t>
            </w:r>
          </w:p>
          <w:p>
            <w:pPr>
              <w:keepNext/>
              <w:keepLines/>
              <w:pageBreakBefore w:val="0"/>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LAi—i声源在预测点产生的等效连续A 声级，dB。</w:t>
            </w:r>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w:r>
              <w:rPr>
                <w:rFonts w:hint="eastAsia" w:ascii="Times New Roman" w:hAnsi="Times New Roman" w:eastAsia="宋体" w:cs="Times New Roman"/>
                <w:color w:val="auto"/>
                <w:sz w:val="24"/>
                <w:szCs w:val="21"/>
              </w:rPr>
              <w:t>③噪声预测值计算公式</w:t>
            </w:r>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w:r>
              <w:rPr>
                <w:rFonts w:hint="eastAsia" w:ascii="Times New Roman" w:hAnsi="Times New Roman" w:eastAsia="宋体" w:cs="Times New Roman"/>
                <w:color w:val="auto"/>
                <w:sz w:val="24"/>
                <w:szCs w:val="21"/>
              </w:rPr>
              <w:t>预测点的贡献值和背景值按能量叠加方法计算得到的声级。</w:t>
            </w:r>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m:oMathPara>
              <m:oMath>
                <m:sSub>
                  <m:sSubPr>
                    <m:ctrlPr>
                      <w:rPr>
                        <w:rFonts w:hint="eastAsia" w:ascii="Cambria Math" w:hAnsi="Cambria Math"/>
                        <w:color w:val="auto"/>
                        <w:sz w:val="24"/>
                        <w:szCs w:val="21"/>
                      </w:rPr>
                    </m:ctrlPr>
                  </m:sSubPr>
                  <m:e>
                    <m:r>
                      <m:rPr>
                        <m:sty m:val="p"/>
                      </m:rPr>
                      <w:rPr>
                        <w:rFonts w:hint="eastAsia" w:ascii="Cambria Math" w:hAnsi="Cambria Math"/>
                        <w:color w:val="auto"/>
                        <w:sz w:val="24"/>
                        <w:szCs w:val="21"/>
                      </w:rPr>
                      <m:t>L</m:t>
                    </m:r>
                    <m:ctrlPr>
                      <w:rPr>
                        <w:rFonts w:hint="eastAsia" w:ascii="Cambria Math" w:hAnsi="Cambria Math"/>
                        <w:color w:val="auto"/>
                        <w:sz w:val="24"/>
                        <w:szCs w:val="21"/>
                      </w:rPr>
                    </m:ctrlPr>
                  </m:e>
                  <m:sub>
                    <m:r>
                      <m:rPr>
                        <m:sty m:val="p"/>
                      </m:rPr>
                      <w:rPr>
                        <w:rFonts w:hint="eastAsia" w:ascii="Cambria Math" w:hAnsi="Cambria Math"/>
                        <w:color w:val="auto"/>
                        <w:sz w:val="24"/>
                        <w:szCs w:val="21"/>
                      </w:rPr>
                      <m:t>eq</m:t>
                    </m:r>
                    <m:ctrlPr>
                      <w:rPr>
                        <w:rFonts w:hint="eastAsia" w:ascii="Cambria Math" w:hAnsi="Cambria Math"/>
                        <w:color w:val="auto"/>
                        <w:sz w:val="24"/>
                        <w:szCs w:val="21"/>
                      </w:rPr>
                    </m:ctrlPr>
                  </m:sub>
                </m:sSub>
                <m:r>
                  <m:rPr>
                    <m:sty m:val="p"/>
                  </m:rPr>
                  <w:rPr>
                    <w:rFonts w:hint="eastAsia" w:ascii="Cambria Math" w:hAnsi="Cambria Math"/>
                    <w:color w:val="auto"/>
                    <w:sz w:val="24"/>
                    <w:szCs w:val="21"/>
                  </w:rPr>
                  <m:t>=10lg</m:t>
                </m:r>
                <m:d>
                  <m:dPr>
                    <m:begChr m:val="{"/>
                    <m:endChr m:val="}"/>
                    <m:ctrlPr>
                      <w:rPr>
                        <w:rFonts w:hint="eastAsia" w:ascii="Cambria Math" w:hAnsi="Cambria Math"/>
                        <w:color w:val="auto"/>
                        <w:sz w:val="24"/>
                        <w:szCs w:val="21"/>
                      </w:rPr>
                    </m:ctrlPr>
                  </m:dPr>
                  <m:e>
                    <m:sSup>
                      <m:sSupPr>
                        <m:ctrlPr>
                          <w:rPr>
                            <w:rFonts w:hint="eastAsia" w:ascii="Cambria Math" w:hAnsi="Cambria Math"/>
                            <w:color w:val="auto"/>
                            <w:sz w:val="24"/>
                            <w:szCs w:val="21"/>
                          </w:rPr>
                        </m:ctrlPr>
                      </m:sSupPr>
                      <m:e>
                        <m:r>
                          <m:rPr>
                            <m:sty m:val="p"/>
                          </m:rPr>
                          <w:rPr>
                            <w:rFonts w:hint="eastAsia" w:ascii="Cambria Math" w:hAnsi="Cambria Math"/>
                            <w:color w:val="auto"/>
                            <w:sz w:val="24"/>
                            <w:szCs w:val="21"/>
                          </w:rPr>
                          <m:t>10</m:t>
                        </m:r>
                        <m:ctrlPr>
                          <w:rPr>
                            <w:rFonts w:hint="eastAsia" w:ascii="Cambria Math" w:hAnsi="Cambria Math"/>
                            <w:color w:val="auto"/>
                            <w:sz w:val="24"/>
                            <w:szCs w:val="21"/>
                          </w:rPr>
                        </m:ctrlPr>
                      </m:e>
                      <m:sup>
                        <m:sSub>
                          <m:sSubPr>
                            <m:ctrlPr>
                              <w:rPr>
                                <w:rFonts w:hint="eastAsia" w:ascii="Cambria Math" w:hAnsi="Cambria Math"/>
                                <w:color w:val="auto"/>
                                <w:sz w:val="24"/>
                                <w:szCs w:val="21"/>
                              </w:rPr>
                            </m:ctrlPr>
                          </m:sSubPr>
                          <m:e>
                            <m:r>
                              <m:rPr>
                                <m:sty m:val="p"/>
                              </m:rPr>
                              <w:rPr>
                                <w:rFonts w:hint="eastAsia" w:ascii="Cambria Math" w:hAnsi="Cambria Math"/>
                                <w:color w:val="auto"/>
                                <w:sz w:val="24"/>
                                <w:szCs w:val="21"/>
                              </w:rPr>
                              <m:t>0.1L</m:t>
                            </m:r>
                            <m:ctrlPr>
                              <w:rPr>
                                <w:rFonts w:hint="eastAsia" w:ascii="Cambria Math" w:hAnsi="Cambria Math"/>
                                <w:color w:val="auto"/>
                                <w:sz w:val="24"/>
                                <w:szCs w:val="21"/>
                              </w:rPr>
                            </m:ctrlPr>
                          </m:e>
                          <m:sub>
                            <m:r>
                              <m:rPr>
                                <m:sty m:val="p"/>
                              </m:rPr>
                              <w:rPr>
                                <w:rFonts w:hint="eastAsia" w:ascii="Cambria Math" w:hAnsi="Cambria Math"/>
                                <w:color w:val="auto"/>
                                <w:sz w:val="24"/>
                                <w:szCs w:val="21"/>
                              </w:rPr>
                              <m:t>eqg</m:t>
                            </m:r>
                            <m:ctrlPr>
                              <w:rPr>
                                <w:rFonts w:hint="eastAsia" w:ascii="Cambria Math" w:hAnsi="Cambria Math"/>
                                <w:color w:val="auto"/>
                                <w:sz w:val="24"/>
                                <w:szCs w:val="21"/>
                              </w:rPr>
                            </m:ctrlPr>
                          </m:sub>
                        </m:sSub>
                        <m:ctrlPr>
                          <w:rPr>
                            <w:rFonts w:hint="eastAsia" w:ascii="Cambria Math" w:hAnsi="Cambria Math"/>
                            <w:color w:val="auto"/>
                            <w:sz w:val="24"/>
                            <w:szCs w:val="21"/>
                          </w:rPr>
                        </m:ctrlPr>
                      </m:sup>
                    </m:sSup>
                    <m:r>
                      <m:rPr>
                        <m:sty m:val="p"/>
                      </m:rPr>
                      <w:rPr>
                        <w:rFonts w:hint="eastAsia" w:ascii="Cambria Math" w:hAnsi="Cambria Math"/>
                        <w:color w:val="auto"/>
                        <w:sz w:val="24"/>
                        <w:szCs w:val="21"/>
                      </w:rPr>
                      <m:t>+</m:t>
                    </m:r>
                    <m:sSup>
                      <m:sSupPr>
                        <m:ctrlPr>
                          <w:rPr>
                            <w:rFonts w:hint="eastAsia" w:ascii="Cambria Math" w:hAnsi="Cambria Math"/>
                            <w:color w:val="auto"/>
                            <w:sz w:val="24"/>
                            <w:szCs w:val="21"/>
                          </w:rPr>
                        </m:ctrlPr>
                      </m:sSupPr>
                      <m:e>
                        <m:r>
                          <m:rPr>
                            <m:sty m:val="p"/>
                          </m:rPr>
                          <w:rPr>
                            <w:rFonts w:hint="eastAsia" w:ascii="Cambria Math" w:hAnsi="Cambria Math"/>
                            <w:color w:val="auto"/>
                            <w:sz w:val="24"/>
                            <w:szCs w:val="21"/>
                          </w:rPr>
                          <m:t>10</m:t>
                        </m:r>
                        <m:ctrlPr>
                          <w:rPr>
                            <w:rFonts w:hint="eastAsia" w:ascii="Cambria Math" w:hAnsi="Cambria Math"/>
                            <w:color w:val="auto"/>
                            <w:sz w:val="24"/>
                            <w:szCs w:val="21"/>
                          </w:rPr>
                        </m:ctrlPr>
                      </m:e>
                      <m:sup>
                        <m:sSub>
                          <m:sSubPr>
                            <m:ctrlPr>
                              <w:rPr>
                                <w:rFonts w:hint="eastAsia" w:ascii="Cambria Math" w:hAnsi="Cambria Math"/>
                                <w:color w:val="auto"/>
                                <w:sz w:val="24"/>
                                <w:szCs w:val="21"/>
                              </w:rPr>
                            </m:ctrlPr>
                          </m:sSubPr>
                          <m:e>
                            <m:r>
                              <m:rPr>
                                <m:sty m:val="p"/>
                              </m:rPr>
                              <w:rPr>
                                <w:rFonts w:hint="eastAsia" w:ascii="Cambria Math" w:hAnsi="Cambria Math"/>
                                <w:color w:val="auto"/>
                                <w:sz w:val="24"/>
                                <w:szCs w:val="21"/>
                              </w:rPr>
                              <m:t>0.1L</m:t>
                            </m:r>
                            <m:ctrlPr>
                              <w:rPr>
                                <w:rFonts w:hint="eastAsia" w:ascii="Cambria Math" w:hAnsi="Cambria Math"/>
                                <w:color w:val="auto"/>
                                <w:sz w:val="24"/>
                                <w:szCs w:val="21"/>
                              </w:rPr>
                            </m:ctrlPr>
                          </m:e>
                          <m:sub>
                            <m:r>
                              <m:rPr>
                                <m:sty m:val="p"/>
                              </m:rPr>
                              <w:rPr>
                                <w:rFonts w:hint="eastAsia" w:ascii="Cambria Math" w:hAnsi="Cambria Math"/>
                                <w:color w:val="auto"/>
                                <w:sz w:val="24"/>
                                <w:szCs w:val="21"/>
                              </w:rPr>
                              <m:t>eqb</m:t>
                            </m:r>
                            <m:ctrlPr>
                              <w:rPr>
                                <w:rFonts w:hint="eastAsia" w:ascii="Cambria Math" w:hAnsi="Cambria Math"/>
                                <w:color w:val="auto"/>
                                <w:sz w:val="24"/>
                                <w:szCs w:val="21"/>
                              </w:rPr>
                            </m:ctrlPr>
                          </m:sub>
                        </m:sSub>
                        <m:ctrlPr>
                          <w:rPr>
                            <w:rFonts w:hint="eastAsia" w:ascii="Cambria Math" w:hAnsi="Cambria Math"/>
                            <w:color w:val="auto"/>
                            <w:sz w:val="24"/>
                            <w:szCs w:val="21"/>
                          </w:rPr>
                        </m:ctrlPr>
                      </m:sup>
                    </m:sSup>
                    <m:ctrlPr>
                      <w:rPr>
                        <w:rFonts w:hint="eastAsia" w:ascii="Cambria Math" w:hAnsi="Cambria Math"/>
                        <w:color w:val="auto"/>
                        <w:sz w:val="24"/>
                        <w:szCs w:val="21"/>
                      </w:rPr>
                    </m:ctrlPr>
                  </m:e>
                </m:d>
              </m:oMath>
            </m:oMathPara>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w:r>
              <w:rPr>
                <w:rFonts w:hint="eastAsia" w:ascii="Times New Roman" w:hAnsi="Times New Roman" w:eastAsia="宋体" w:cs="Times New Roman"/>
                <w:color w:val="auto"/>
                <w:sz w:val="24"/>
                <w:szCs w:val="21"/>
              </w:rPr>
              <w:t>式中：Leq—预测点的噪声预测值，dB；</w:t>
            </w:r>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w:r>
              <w:rPr>
                <w:rFonts w:hint="eastAsia" w:ascii="Times New Roman" w:hAnsi="Times New Roman" w:eastAsia="宋体" w:cs="Times New Roman"/>
                <w:color w:val="auto"/>
                <w:sz w:val="24"/>
                <w:szCs w:val="21"/>
              </w:rPr>
              <w:t>Leqg—建设项目声源在预测点产生的噪声贡献值，dB；</w:t>
            </w:r>
          </w:p>
          <w:p>
            <w:pPr>
              <w:keepNext/>
              <w:keepLines/>
              <w:pageBreakBefore w:val="0"/>
              <w:bidi w:val="0"/>
              <w:adjustRightInd w:val="0"/>
              <w:snapToGrid w:val="0"/>
              <w:spacing w:line="360" w:lineRule="auto"/>
              <w:ind w:firstLine="480" w:firstLineChars="200"/>
              <w:rPr>
                <w:rFonts w:hint="eastAsia" w:ascii="Times New Roman" w:hAnsi="Times New Roman" w:eastAsia="宋体" w:cs="Times New Roman"/>
                <w:color w:val="auto"/>
                <w:sz w:val="24"/>
                <w:szCs w:val="21"/>
              </w:rPr>
            </w:pPr>
            <w:r>
              <w:rPr>
                <w:rFonts w:hint="eastAsia" w:ascii="Times New Roman" w:hAnsi="Times New Roman" w:eastAsia="宋体" w:cs="Times New Roman"/>
                <w:color w:val="auto"/>
                <w:sz w:val="24"/>
                <w:szCs w:val="21"/>
              </w:rPr>
              <w:t>Leqb—预测点的背景噪声值，dB。</w:t>
            </w:r>
          </w:p>
          <w:p>
            <w:pPr>
              <w:snapToGrid w:val="0"/>
              <w:spacing w:line="360" w:lineRule="auto"/>
              <w:ind w:firstLine="480" w:firstLineChars="200"/>
              <w:rPr>
                <w:rFonts w:ascii="Times New Roman" w:hAnsi="Times New Roman" w:cs="Times New Roman" w:eastAsiaTheme="minorEastAsia"/>
                <w:color w:val="302116"/>
                <w:sz w:val="24"/>
                <w:szCs w:val="24"/>
                <w:lang w:eastAsia="zh-CN"/>
              </w:rPr>
            </w:pPr>
            <w:r>
              <w:rPr>
                <w:rFonts w:ascii="Times New Roman" w:hAnsi="Times New Roman" w:cs="Times New Roman" w:eastAsiaTheme="minorEastAsia"/>
                <w:color w:val="302116"/>
                <w:sz w:val="24"/>
                <w:szCs w:val="24"/>
                <w:lang w:eastAsia="zh-CN"/>
              </w:rPr>
              <w:t>通过预测模型计算，项目厂界噪声预测结果与达标分析见</w:t>
            </w:r>
            <w:r>
              <w:rPr>
                <w:rFonts w:hint="eastAsia" w:cs="Times New Roman" w:eastAsiaTheme="minorEastAsia"/>
                <w:color w:val="302116"/>
                <w:sz w:val="24"/>
                <w:szCs w:val="24"/>
                <w:lang w:val="en-US" w:eastAsia="zh-CN"/>
              </w:rPr>
              <w:t>4</w:t>
            </w:r>
            <w:r>
              <w:rPr>
                <w:rFonts w:ascii="Times New Roman" w:hAnsi="Times New Roman" w:cs="Times New Roman" w:eastAsiaTheme="minorEastAsia"/>
                <w:color w:val="302116"/>
                <w:sz w:val="24"/>
                <w:szCs w:val="24"/>
                <w:lang w:eastAsia="zh-CN"/>
              </w:rPr>
              <w:t>-</w:t>
            </w:r>
            <w:r>
              <w:rPr>
                <w:rFonts w:hint="eastAsia" w:cs="Times New Roman" w:eastAsiaTheme="minorEastAsia"/>
                <w:color w:val="302116"/>
                <w:sz w:val="24"/>
                <w:szCs w:val="24"/>
                <w:lang w:val="en-US" w:eastAsia="zh-CN"/>
              </w:rPr>
              <w:t>8</w:t>
            </w:r>
            <w:r>
              <w:rPr>
                <w:rFonts w:ascii="Times New Roman" w:hAnsi="Times New Roman" w:cs="Times New Roman" w:eastAsiaTheme="minorEastAsia"/>
                <w:color w:val="302116"/>
                <w:sz w:val="24"/>
                <w:szCs w:val="24"/>
                <w:lang w:eastAsia="zh-CN"/>
              </w:rPr>
              <w:t>，声环境保护目标噪声预测结果与达标分析见表</w:t>
            </w:r>
            <w:r>
              <w:rPr>
                <w:rFonts w:hint="eastAsia" w:cs="Times New Roman" w:eastAsiaTheme="minorEastAsia"/>
                <w:color w:val="302116"/>
                <w:sz w:val="24"/>
                <w:szCs w:val="24"/>
                <w:lang w:val="en-US" w:eastAsia="zh-CN"/>
              </w:rPr>
              <w:t>4</w:t>
            </w:r>
            <w:r>
              <w:rPr>
                <w:rFonts w:ascii="Times New Roman" w:hAnsi="Times New Roman" w:cs="Times New Roman" w:eastAsiaTheme="minorEastAsia"/>
                <w:color w:val="302116"/>
                <w:sz w:val="24"/>
                <w:szCs w:val="24"/>
                <w:lang w:eastAsia="zh-CN"/>
              </w:rPr>
              <w:t>-</w:t>
            </w:r>
            <w:r>
              <w:rPr>
                <w:rFonts w:hint="eastAsia" w:cs="Times New Roman" w:eastAsiaTheme="minorEastAsia"/>
                <w:color w:val="302116"/>
                <w:sz w:val="24"/>
                <w:szCs w:val="24"/>
                <w:lang w:val="en-US" w:eastAsia="zh-CN"/>
              </w:rPr>
              <w:t>9</w:t>
            </w:r>
            <w:r>
              <w:rPr>
                <w:rFonts w:ascii="Times New Roman" w:hAnsi="Times New Roman" w:cs="Times New Roman" w:eastAsiaTheme="minorEastAsia"/>
                <w:color w:val="302116"/>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cs="Times New Roman"/>
                <w:b/>
                <w:lang w:eastAsia="zh-CN"/>
              </w:rPr>
            </w:pPr>
            <w:r>
              <w:rPr>
                <w:rFonts w:cs="Times New Roman" w:asciiTheme="minorEastAsia" w:hAnsiTheme="minorEastAsia" w:eastAsiaTheme="minorEastAsia"/>
                <w:b/>
                <w:sz w:val="24"/>
                <w:szCs w:val="24"/>
                <w:lang w:eastAsia="zh-CN"/>
              </w:rPr>
              <w:t>表</w:t>
            </w:r>
            <w:r>
              <w:rPr>
                <w:rFonts w:hint="eastAsia" w:cs="Times New Roman" w:eastAsiaTheme="minorEastAsia"/>
                <w:b/>
                <w:sz w:val="24"/>
                <w:szCs w:val="24"/>
                <w:lang w:val="en-US" w:eastAsia="zh-CN"/>
              </w:rPr>
              <w:t>4</w:t>
            </w:r>
            <w:r>
              <w:rPr>
                <w:rFonts w:ascii="Times New Roman" w:hAnsi="Times New Roman" w:cs="Times New Roman" w:eastAsiaTheme="minorEastAsia"/>
                <w:b/>
                <w:sz w:val="24"/>
                <w:szCs w:val="24"/>
                <w:lang w:eastAsia="zh-CN"/>
              </w:rPr>
              <w:t>-</w:t>
            </w:r>
            <w:r>
              <w:rPr>
                <w:rFonts w:hint="eastAsia" w:cs="Times New Roman" w:eastAsiaTheme="minorEastAsia"/>
                <w:b/>
                <w:sz w:val="24"/>
                <w:szCs w:val="24"/>
                <w:lang w:val="en-US" w:eastAsia="zh-CN"/>
              </w:rPr>
              <w:t>8</w:t>
            </w:r>
            <w:r>
              <w:rPr>
                <w:rFonts w:ascii="Times New Roman" w:hAnsi="Times New Roman" w:cs="Times New Roman" w:eastAsiaTheme="minorEastAsia"/>
                <w:b/>
                <w:sz w:val="24"/>
                <w:szCs w:val="24"/>
                <w:lang w:eastAsia="zh-CN"/>
              </w:rPr>
              <w:t xml:space="preserve"> </w:t>
            </w:r>
            <w:r>
              <w:rPr>
                <w:rFonts w:cs="Times New Roman" w:asciiTheme="minorEastAsia" w:hAnsiTheme="minorEastAsia" w:eastAsiaTheme="minorEastAsia"/>
                <w:b/>
                <w:sz w:val="24"/>
                <w:szCs w:val="24"/>
                <w:lang w:eastAsia="zh-CN"/>
              </w:rPr>
              <w:t xml:space="preserve"> 厂界噪声预测结果与达标分析表</w:t>
            </w:r>
            <w:bookmarkStart w:id="3" w:name="PT_7"/>
          </w:p>
          <w:tbl>
            <w:tblPr>
              <w:tblStyle w:val="21"/>
              <w:tblW w:w="744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2"/>
              <w:gridCol w:w="803"/>
              <w:gridCol w:w="803"/>
              <w:gridCol w:w="803"/>
              <w:gridCol w:w="640"/>
              <w:gridCol w:w="1123"/>
              <w:gridCol w:w="1242"/>
              <w:gridCol w:w="13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662"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预测方位</w:t>
                  </w:r>
                </w:p>
              </w:tc>
              <w:tc>
                <w:tcPr>
                  <w:tcW w:w="2409" w:type="dxa"/>
                  <w:gridSpan w:val="3"/>
                  <w:tcBorders>
                    <w:tl2br w:val="nil"/>
                    <w:tr2bl w:val="nil"/>
                  </w:tcBorders>
                  <w:vAlign w:val="center"/>
                </w:tcPr>
                <w:p>
                  <w:pPr>
                    <w:jc w:val="center"/>
                    <w:rPr>
                      <w:rFonts w:ascii="Times New Roman" w:hAnsi="Times New Roman" w:cs="Times New Roman" w:eastAsiaTheme="minorEastAsia"/>
                      <w:sz w:val="21"/>
                      <w:szCs w:val="21"/>
                    </w:rPr>
                  </w:pPr>
                  <w:r>
                    <w:rPr>
                      <w:rFonts w:hint="eastAsia" w:ascii="Times New Roman" w:hAnsi="Times New Roman" w:cs="Times New Roman" w:eastAsiaTheme="minorEastAsia"/>
                      <w:b/>
                      <w:sz w:val="21"/>
                      <w:szCs w:val="21"/>
                      <w:lang w:val="en-US" w:eastAsia="zh-CN"/>
                    </w:rPr>
                    <w:t>最大值点</w:t>
                  </w:r>
                  <w:r>
                    <w:rPr>
                      <w:rFonts w:ascii="Times New Roman" w:hAnsi="Times New Roman" w:cs="Times New Roman" w:eastAsiaTheme="minorEastAsia"/>
                      <w:b/>
                      <w:sz w:val="21"/>
                      <w:szCs w:val="21"/>
                    </w:rPr>
                    <w:t>空间相对位置/m</w:t>
                  </w:r>
                </w:p>
              </w:tc>
              <w:tc>
                <w:tcPr>
                  <w:tcW w:w="640"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时段</w:t>
                  </w:r>
                </w:p>
              </w:tc>
              <w:tc>
                <w:tcPr>
                  <w:tcW w:w="1123"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hint="eastAsia" w:ascii="Times New Roman" w:hAnsi="Times New Roman" w:cs="Times New Roman" w:eastAsiaTheme="minorEastAsia"/>
                      <w:b/>
                      <w:sz w:val="21"/>
                      <w:szCs w:val="21"/>
                    </w:rPr>
                    <w:t>贡献值</w:t>
                  </w:r>
                  <w:r>
                    <w:rPr>
                      <w:rFonts w:ascii="Times New Roman" w:hAnsi="Times New Roman" w:cs="Times New Roman" w:eastAsiaTheme="minorEastAsia"/>
                      <w:b/>
                      <w:sz w:val="21"/>
                      <w:szCs w:val="21"/>
                    </w:rPr>
                    <w:t>（dB(A)）</w:t>
                  </w:r>
                </w:p>
              </w:tc>
              <w:tc>
                <w:tcPr>
                  <w:tcW w:w="1242"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标准限值（dB(A)）</w:t>
                  </w:r>
                </w:p>
              </w:tc>
              <w:tc>
                <w:tcPr>
                  <w:tcW w:w="1368"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达标情况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62"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tc>
              <w:tc>
                <w:tcPr>
                  <w:tcW w:w="803"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X</w:t>
                  </w:r>
                </w:p>
              </w:tc>
              <w:tc>
                <w:tcPr>
                  <w:tcW w:w="803"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Y</w:t>
                  </w:r>
                </w:p>
              </w:tc>
              <w:tc>
                <w:tcPr>
                  <w:tcW w:w="803"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Z</w:t>
                  </w:r>
                </w:p>
              </w:tc>
              <w:tc>
                <w:tcPr>
                  <w:tcW w:w="640"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tc>
              <w:tc>
                <w:tcPr>
                  <w:tcW w:w="1123"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tc>
              <w:tc>
                <w:tcPr>
                  <w:tcW w:w="1242"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bookmarkEnd w:id="3"/>
              </w:tc>
              <w:tc>
                <w:tcPr>
                  <w:tcW w:w="1368"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restart"/>
                  <w:tcBorders>
                    <w:tl2br w:val="nil"/>
                    <w:tr2bl w:val="nil"/>
                  </w:tcBorders>
                  <w:shd w:val="clear" w:color="auto" w:fill="FFFFFF"/>
                  <w:vAlign w:val="center"/>
                </w:tcPr>
                <w:p>
                  <w:r>
                    <w:rPr>
                      <w:rFonts w:ascii="Arial" w:hAnsi="Arial" w:eastAsia="Arial" w:cs="Arial"/>
                      <w:sz w:val="20"/>
                    </w:rPr>
                    <w:t>东侧</w:t>
                  </w:r>
                </w:p>
              </w:tc>
              <w:tc>
                <w:tcPr>
                  <w:tcW w:w="803" w:type="dxa"/>
                  <w:tcBorders>
                    <w:tl2br w:val="nil"/>
                    <w:tr2bl w:val="nil"/>
                  </w:tcBorders>
                  <w:shd w:val="clear" w:color="auto" w:fill="FFFFFF"/>
                  <w:vAlign w:val="center"/>
                </w:tcPr>
                <w:p>
                  <w:r>
                    <w:rPr>
                      <w:rFonts w:ascii="Arial" w:hAnsi="Arial" w:eastAsia="Arial" w:cs="Arial"/>
                      <w:sz w:val="20"/>
                    </w:rPr>
                    <w:t>140.8</w:t>
                  </w:r>
                </w:p>
              </w:tc>
              <w:tc>
                <w:tcPr>
                  <w:tcW w:w="803" w:type="dxa"/>
                  <w:tcBorders>
                    <w:tl2br w:val="nil"/>
                    <w:tr2bl w:val="nil"/>
                  </w:tcBorders>
                  <w:shd w:val="clear" w:color="auto" w:fill="FFFFFF"/>
                  <w:vAlign w:val="center"/>
                </w:tcPr>
                <w:p>
                  <w:r>
                    <w:rPr>
                      <w:rFonts w:ascii="Arial" w:hAnsi="Arial" w:eastAsia="Arial" w:cs="Arial"/>
                      <w:sz w:val="20"/>
                    </w:rPr>
                    <w:t>93.2</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昼间</w:t>
                  </w:r>
                </w:p>
              </w:tc>
              <w:tc>
                <w:tcPr>
                  <w:tcW w:w="1123" w:type="dxa"/>
                  <w:tcBorders>
                    <w:tl2br w:val="nil"/>
                    <w:tr2bl w:val="nil"/>
                  </w:tcBorders>
                  <w:shd w:val="clear" w:color="auto" w:fill="FFFFFF"/>
                  <w:vAlign w:val="center"/>
                </w:tcPr>
                <w:p>
                  <w:r>
                    <w:rPr>
                      <w:rFonts w:ascii="Arial" w:hAnsi="Arial" w:eastAsia="Arial" w:cs="Arial"/>
                      <w:sz w:val="20"/>
                    </w:rPr>
                    <w:t>16.6</w:t>
                  </w:r>
                </w:p>
              </w:tc>
              <w:tc>
                <w:tcPr>
                  <w:tcW w:w="1242" w:type="dxa"/>
                  <w:tcBorders>
                    <w:tl2br w:val="nil"/>
                    <w:tr2bl w:val="nil"/>
                  </w:tcBorders>
                  <w:shd w:val="clear" w:color="auto" w:fill="FFFFFF"/>
                  <w:vAlign w:val="center"/>
                </w:tcPr>
                <w:p>
                  <w:r>
                    <w:rPr>
                      <w:rFonts w:ascii="Arial" w:hAnsi="Arial" w:eastAsia="Arial" w:cs="Arial"/>
                      <w:sz w:val="20"/>
                    </w:rPr>
                    <w:t>55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continue"/>
                  <w:tcBorders>
                    <w:tl2br w:val="nil"/>
                    <w:tr2bl w:val="nil"/>
                  </w:tcBorders>
                  <w:shd w:val="clear" w:color="auto" w:fill="FFFFFF"/>
                  <w:vAlign w:val="center"/>
                </w:tcPr>
                <w:p>
                  <w:r>
                    <w:rPr>
                      <w:rFonts w:ascii="Arial" w:hAnsi="Arial" w:eastAsia="Arial" w:cs="Arial"/>
                      <w:sz w:val="20"/>
                    </w:rPr>
                    <w:t>东侧</w:t>
                  </w:r>
                </w:p>
              </w:tc>
              <w:tc>
                <w:tcPr>
                  <w:tcW w:w="803" w:type="dxa"/>
                  <w:tcBorders>
                    <w:tl2br w:val="nil"/>
                    <w:tr2bl w:val="nil"/>
                  </w:tcBorders>
                  <w:shd w:val="clear" w:color="auto" w:fill="FFFFFF"/>
                  <w:vAlign w:val="center"/>
                </w:tcPr>
                <w:p>
                  <w:r>
                    <w:rPr>
                      <w:rFonts w:ascii="Arial" w:hAnsi="Arial" w:eastAsia="Arial" w:cs="Arial"/>
                      <w:sz w:val="20"/>
                    </w:rPr>
                    <w:t>140.8</w:t>
                  </w:r>
                </w:p>
              </w:tc>
              <w:tc>
                <w:tcPr>
                  <w:tcW w:w="803" w:type="dxa"/>
                  <w:tcBorders>
                    <w:tl2br w:val="nil"/>
                    <w:tr2bl w:val="nil"/>
                  </w:tcBorders>
                  <w:shd w:val="clear" w:color="auto" w:fill="FFFFFF"/>
                  <w:vAlign w:val="center"/>
                </w:tcPr>
                <w:p>
                  <w:r>
                    <w:rPr>
                      <w:rFonts w:ascii="Arial" w:hAnsi="Arial" w:eastAsia="Arial" w:cs="Arial"/>
                      <w:sz w:val="20"/>
                    </w:rPr>
                    <w:t>93.2</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夜间</w:t>
                  </w:r>
                </w:p>
              </w:tc>
              <w:tc>
                <w:tcPr>
                  <w:tcW w:w="1123" w:type="dxa"/>
                  <w:tcBorders>
                    <w:tl2br w:val="nil"/>
                    <w:tr2bl w:val="nil"/>
                  </w:tcBorders>
                  <w:shd w:val="clear" w:color="auto" w:fill="FFFFFF"/>
                  <w:vAlign w:val="center"/>
                </w:tcPr>
                <w:p>
                  <w:r>
                    <w:rPr>
                      <w:rFonts w:ascii="Arial" w:hAnsi="Arial" w:eastAsia="Arial" w:cs="Arial"/>
                      <w:sz w:val="20"/>
                    </w:rPr>
                    <w:t>16.6</w:t>
                  </w:r>
                </w:p>
              </w:tc>
              <w:tc>
                <w:tcPr>
                  <w:tcW w:w="1242" w:type="dxa"/>
                  <w:tcBorders>
                    <w:tl2br w:val="nil"/>
                    <w:tr2bl w:val="nil"/>
                  </w:tcBorders>
                  <w:shd w:val="clear" w:color="auto" w:fill="FFFFFF"/>
                  <w:vAlign w:val="center"/>
                </w:tcPr>
                <w:p>
                  <w:r>
                    <w:rPr>
                      <w:rFonts w:ascii="Arial" w:hAnsi="Arial" w:eastAsia="Arial" w:cs="Arial"/>
                      <w:sz w:val="20"/>
                    </w:rPr>
                    <w:t>45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restart"/>
                  <w:tcBorders>
                    <w:tl2br w:val="nil"/>
                    <w:tr2bl w:val="nil"/>
                  </w:tcBorders>
                  <w:shd w:val="clear" w:color="auto" w:fill="FFFFFF"/>
                  <w:vAlign w:val="center"/>
                </w:tcPr>
                <w:p>
                  <w:r>
                    <w:rPr>
                      <w:rFonts w:ascii="Arial" w:hAnsi="Arial" w:eastAsia="Arial" w:cs="Arial"/>
                      <w:sz w:val="20"/>
                    </w:rPr>
                    <w:t>南侧</w:t>
                  </w:r>
                </w:p>
              </w:tc>
              <w:tc>
                <w:tcPr>
                  <w:tcW w:w="803" w:type="dxa"/>
                  <w:tcBorders>
                    <w:tl2br w:val="nil"/>
                    <w:tr2bl w:val="nil"/>
                  </w:tcBorders>
                  <w:shd w:val="clear" w:color="auto" w:fill="FFFFFF"/>
                  <w:vAlign w:val="center"/>
                </w:tcPr>
                <w:p>
                  <w:r>
                    <w:rPr>
                      <w:rFonts w:ascii="Arial" w:hAnsi="Arial" w:eastAsia="Arial" w:cs="Arial"/>
                      <w:sz w:val="20"/>
                    </w:rPr>
                    <w:t>-101.9</w:t>
                  </w:r>
                </w:p>
              </w:tc>
              <w:tc>
                <w:tcPr>
                  <w:tcW w:w="803" w:type="dxa"/>
                  <w:tcBorders>
                    <w:tl2br w:val="nil"/>
                    <w:tr2bl w:val="nil"/>
                  </w:tcBorders>
                  <w:shd w:val="clear" w:color="auto" w:fill="FFFFFF"/>
                  <w:vAlign w:val="center"/>
                </w:tcPr>
                <w:p>
                  <w:r>
                    <w:rPr>
                      <w:rFonts w:ascii="Arial" w:hAnsi="Arial" w:eastAsia="Arial" w:cs="Arial"/>
                      <w:sz w:val="20"/>
                    </w:rPr>
                    <w:t>-103.6</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昼间</w:t>
                  </w:r>
                </w:p>
              </w:tc>
              <w:tc>
                <w:tcPr>
                  <w:tcW w:w="1123" w:type="dxa"/>
                  <w:tcBorders>
                    <w:tl2br w:val="nil"/>
                    <w:tr2bl w:val="nil"/>
                  </w:tcBorders>
                  <w:shd w:val="clear" w:color="auto" w:fill="FFFFFF"/>
                  <w:vAlign w:val="center"/>
                </w:tcPr>
                <w:p>
                  <w:r>
                    <w:rPr>
                      <w:rFonts w:ascii="Arial" w:hAnsi="Arial" w:eastAsia="Arial" w:cs="Arial"/>
                      <w:sz w:val="20"/>
                    </w:rPr>
                    <w:t>11.8</w:t>
                  </w:r>
                </w:p>
              </w:tc>
              <w:tc>
                <w:tcPr>
                  <w:tcW w:w="1242" w:type="dxa"/>
                  <w:tcBorders>
                    <w:tl2br w:val="nil"/>
                    <w:tr2bl w:val="nil"/>
                  </w:tcBorders>
                  <w:shd w:val="clear" w:color="auto" w:fill="FFFFFF"/>
                  <w:vAlign w:val="center"/>
                </w:tcPr>
                <w:p>
                  <w:r>
                    <w:rPr>
                      <w:rFonts w:ascii="Arial" w:hAnsi="Arial" w:eastAsia="Arial" w:cs="Arial"/>
                      <w:sz w:val="20"/>
                    </w:rPr>
                    <w:t>55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continue"/>
                  <w:tcBorders>
                    <w:tl2br w:val="nil"/>
                    <w:tr2bl w:val="nil"/>
                  </w:tcBorders>
                  <w:shd w:val="clear" w:color="auto" w:fill="FFFFFF"/>
                  <w:vAlign w:val="center"/>
                </w:tcPr>
                <w:p>
                  <w:r>
                    <w:rPr>
                      <w:rFonts w:ascii="Arial" w:hAnsi="Arial" w:eastAsia="Arial" w:cs="Arial"/>
                      <w:sz w:val="20"/>
                    </w:rPr>
                    <w:t>南侧</w:t>
                  </w:r>
                </w:p>
              </w:tc>
              <w:tc>
                <w:tcPr>
                  <w:tcW w:w="803" w:type="dxa"/>
                  <w:tcBorders>
                    <w:tl2br w:val="nil"/>
                    <w:tr2bl w:val="nil"/>
                  </w:tcBorders>
                  <w:shd w:val="clear" w:color="auto" w:fill="FFFFFF"/>
                  <w:vAlign w:val="center"/>
                </w:tcPr>
                <w:p>
                  <w:r>
                    <w:rPr>
                      <w:rFonts w:ascii="Arial" w:hAnsi="Arial" w:eastAsia="Arial" w:cs="Arial"/>
                      <w:sz w:val="20"/>
                    </w:rPr>
                    <w:t>-101.9</w:t>
                  </w:r>
                </w:p>
              </w:tc>
              <w:tc>
                <w:tcPr>
                  <w:tcW w:w="803" w:type="dxa"/>
                  <w:tcBorders>
                    <w:tl2br w:val="nil"/>
                    <w:tr2bl w:val="nil"/>
                  </w:tcBorders>
                  <w:shd w:val="clear" w:color="auto" w:fill="FFFFFF"/>
                  <w:vAlign w:val="center"/>
                </w:tcPr>
                <w:p>
                  <w:r>
                    <w:rPr>
                      <w:rFonts w:ascii="Arial" w:hAnsi="Arial" w:eastAsia="Arial" w:cs="Arial"/>
                      <w:sz w:val="20"/>
                    </w:rPr>
                    <w:t>-103.6</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夜间</w:t>
                  </w:r>
                </w:p>
              </w:tc>
              <w:tc>
                <w:tcPr>
                  <w:tcW w:w="1123" w:type="dxa"/>
                  <w:tcBorders>
                    <w:tl2br w:val="nil"/>
                    <w:tr2bl w:val="nil"/>
                  </w:tcBorders>
                  <w:shd w:val="clear" w:color="auto" w:fill="FFFFFF"/>
                  <w:vAlign w:val="center"/>
                </w:tcPr>
                <w:p>
                  <w:r>
                    <w:rPr>
                      <w:rFonts w:ascii="Arial" w:hAnsi="Arial" w:eastAsia="Arial" w:cs="Arial"/>
                      <w:sz w:val="20"/>
                    </w:rPr>
                    <w:t>11.8</w:t>
                  </w:r>
                </w:p>
              </w:tc>
              <w:tc>
                <w:tcPr>
                  <w:tcW w:w="1242" w:type="dxa"/>
                  <w:tcBorders>
                    <w:tl2br w:val="nil"/>
                    <w:tr2bl w:val="nil"/>
                  </w:tcBorders>
                  <w:shd w:val="clear" w:color="auto" w:fill="FFFFFF"/>
                  <w:vAlign w:val="center"/>
                </w:tcPr>
                <w:p>
                  <w:r>
                    <w:rPr>
                      <w:rFonts w:ascii="Arial" w:hAnsi="Arial" w:eastAsia="Arial" w:cs="Arial"/>
                      <w:sz w:val="20"/>
                    </w:rPr>
                    <w:t>45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restart"/>
                  <w:tcBorders>
                    <w:tl2br w:val="nil"/>
                    <w:tr2bl w:val="nil"/>
                  </w:tcBorders>
                  <w:shd w:val="clear" w:color="auto" w:fill="FFFFFF"/>
                  <w:vAlign w:val="center"/>
                </w:tcPr>
                <w:p>
                  <w:r>
                    <w:rPr>
                      <w:rFonts w:ascii="Arial" w:hAnsi="Arial" w:eastAsia="Arial" w:cs="Arial"/>
                      <w:sz w:val="20"/>
                    </w:rPr>
                    <w:t>西侧</w:t>
                  </w:r>
                </w:p>
              </w:tc>
              <w:tc>
                <w:tcPr>
                  <w:tcW w:w="803" w:type="dxa"/>
                  <w:tcBorders>
                    <w:tl2br w:val="nil"/>
                    <w:tr2bl w:val="nil"/>
                  </w:tcBorders>
                  <w:shd w:val="clear" w:color="auto" w:fill="FFFFFF"/>
                  <w:vAlign w:val="center"/>
                </w:tcPr>
                <w:p>
                  <w:r>
                    <w:rPr>
                      <w:rFonts w:ascii="Arial" w:hAnsi="Arial" w:eastAsia="Arial" w:cs="Arial"/>
                      <w:sz w:val="20"/>
                    </w:rPr>
                    <w:t>-139.5</w:t>
                  </w:r>
                </w:p>
              </w:tc>
              <w:tc>
                <w:tcPr>
                  <w:tcW w:w="803" w:type="dxa"/>
                  <w:tcBorders>
                    <w:tl2br w:val="nil"/>
                    <w:tr2bl w:val="nil"/>
                  </w:tcBorders>
                  <w:shd w:val="clear" w:color="auto" w:fill="FFFFFF"/>
                  <w:vAlign w:val="center"/>
                </w:tcPr>
                <w:p>
                  <w:r>
                    <w:rPr>
                      <w:rFonts w:ascii="Arial" w:hAnsi="Arial" w:eastAsia="Arial" w:cs="Arial"/>
                      <w:sz w:val="20"/>
                    </w:rPr>
                    <w:t>137.9</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昼间</w:t>
                  </w:r>
                </w:p>
              </w:tc>
              <w:tc>
                <w:tcPr>
                  <w:tcW w:w="1123" w:type="dxa"/>
                  <w:tcBorders>
                    <w:tl2br w:val="nil"/>
                    <w:tr2bl w:val="nil"/>
                  </w:tcBorders>
                  <w:shd w:val="clear" w:color="auto" w:fill="FFFFFF"/>
                  <w:vAlign w:val="center"/>
                </w:tcPr>
                <w:p>
                  <w:r>
                    <w:rPr>
                      <w:rFonts w:ascii="Arial" w:hAnsi="Arial" w:eastAsia="Arial" w:cs="Arial"/>
                      <w:sz w:val="20"/>
                    </w:rPr>
                    <w:t>30.6</w:t>
                  </w:r>
                </w:p>
              </w:tc>
              <w:tc>
                <w:tcPr>
                  <w:tcW w:w="1242" w:type="dxa"/>
                  <w:tcBorders>
                    <w:tl2br w:val="nil"/>
                    <w:tr2bl w:val="nil"/>
                  </w:tcBorders>
                  <w:shd w:val="clear" w:color="auto" w:fill="FFFFFF"/>
                  <w:vAlign w:val="center"/>
                </w:tcPr>
                <w:p>
                  <w:r>
                    <w:rPr>
                      <w:rFonts w:ascii="Arial" w:hAnsi="Arial" w:eastAsia="Arial" w:cs="Arial"/>
                      <w:sz w:val="20"/>
                    </w:rPr>
                    <w:t>55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continue"/>
                  <w:tcBorders>
                    <w:tl2br w:val="nil"/>
                    <w:tr2bl w:val="nil"/>
                  </w:tcBorders>
                  <w:shd w:val="clear" w:color="auto" w:fill="FFFFFF"/>
                  <w:vAlign w:val="center"/>
                </w:tcPr>
                <w:p>
                  <w:r>
                    <w:rPr>
                      <w:rFonts w:ascii="Arial" w:hAnsi="Arial" w:eastAsia="Arial" w:cs="Arial"/>
                      <w:sz w:val="20"/>
                    </w:rPr>
                    <w:t>西侧</w:t>
                  </w:r>
                </w:p>
              </w:tc>
              <w:tc>
                <w:tcPr>
                  <w:tcW w:w="803" w:type="dxa"/>
                  <w:tcBorders>
                    <w:tl2br w:val="nil"/>
                    <w:tr2bl w:val="nil"/>
                  </w:tcBorders>
                  <w:shd w:val="clear" w:color="auto" w:fill="FFFFFF"/>
                  <w:vAlign w:val="center"/>
                </w:tcPr>
                <w:p>
                  <w:r>
                    <w:rPr>
                      <w:rFonts w:ascii="Arial" w:hAnsi="Arial" w:eastAsia="Arial" w:cs="Arial"/>
                      <w:sz w:val="20"/>
                    </w:rPr>
                    <w:t>-139.5</w:t>
                  </w:r>
                </w:p>
              </w:tc>
              <w:tc>
                <w:tcPr>
                  <w:tcW w:w="803" w:type="dxa"/>
                  <w:tcBorders>
                    <w:tl2br w:val="nil"/>
                    <w:tr2bl w:val="nil"/>
                  </w:tcBorders>
                  <w:shd w:val="clear" w:color="auto" w:fill="FFFFFF"/>
                  <w:vAlign w:val="center"/>
                </w:tcPr>
                <w:p>
                  <w:r>
                    <w:rPr>
                      <w:rFonts w:ascii="Arial" w:hAnsi="Arial" w:eastAsia="Arial" w:cs="Arial"/>
                      <w:sz w:val="20"/>
                    </w:rPr>
                    <w:t>137.9</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夜间</w:t>
                  </w:r>
                </w:p>
              </w:tc>
              <w:tc>
                <w:tcPr>
                  <w:tcW w:w="1123" w:type="dxa"/>
                  <w:tcBorders>
                    <w:tl2br w:val="nil"/>
                    <w:tr2bl w:val="nil"/>
                  </w:tcBorders>
                  <w:shd w:val="clear" w:color="auto" w:fill="FFFFFF"/>
                  <w:vAlign w:val="center"/>
                </w:tcPr>
                <w:p>
                  <w:r>
                    <w:rPr>
                      <w:rFonts w:ascii="Arial" w:hAnsi="Arial" w:eastAsia="Arial" w:cs="Arial"/>
                      <w:sz w:val="20"/>
                    </w:rPr>
                    <w:t>30.6</w:t>
                  </w:r>
                </w:p>
              </w:tc>
              <w:tc>
                <w:tcPr>
                  <w:tcW w:w="1242" w:type="dxa"/>
                  <w:tcBorders>
                    <w:tl2br w:val="nil"/>
                    <w:tr2bl w:val="nil"/>
                  </w:tcBorders>
                  <w:shd w:val="clear" w:color="auto" w:fill="FFFFFF"/>
                  <w:vAlign w:val="center"/>
                </w:tcPr>
                <w:p>
                  <w:r>
                    <w:rPr>
                      <w:rFonts w:ascii="Arial" w:hAnsi="Arial" w:eastAsia="Arial" w:cs="Arial"/>
                      <w:sz w:val="20"/>
                    </w:rPr>
                    <w:t>45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restart"/>
                  <w:tcBorders>
                    <w:tl2br w:val="nil"/>
                    <w:tr2bl w:val="nil"/>
                  </w:tcBorders>
                  <w:shd w:val="clear" w:color="auto" w:fill="FFFFFF"/>
                  <w:vAlign w:val="center"/>
                </w:tcPr>
                <w:p>
                  <w:r>
                    <w:rPr>
                      <w:rFonts w:ascii="Arial" w:hAnsi="Arial" w:eastAsia="Arial" w:cs="Arial"/>
                      <w:sz w:val="20"/>
                    </w:rPr>
                    <w:t>北侧</w:t>
                  </w:r>
                </w:p>
              </w:tc>
              <w:tc>
                <w:tcPr>
                  <w:tcW w:w="803" w:type="dxa"/>
                  <w:tcBorders>
                    <w:tl2br w:val="nil"/>
                    <w:tr2bl w:val="nil"/>
                  </w:tcBorders>
                  <w:shd w:val="clear" w:color="auto" w:fill="FFFFFF"/>
                  <w:vAlign w:val="center"/>
                </w:tcPr>
                <w:p>
                  <w:r>
                    <w:rPr>
                      <w:rFonts w:ascii="Arial" w:hAnsi="Arial" w:eastAsia="Arial" w:cs="Arial"/>
                      <w:sz w:val="20"/>
                    </w:rPr>
                    <w:t>-134.3</w:t>
                  </w:r>
                </w:p>
              </w:tc>
              <w:tc>
                <w:tcPr>
                  <w:tcW w:w="803" w:type="dxa"/>
                  <w:tcBorders>
                    <w:tl2br w:val="nil"/>
                    <w:tr2bl w:val="nil"/>
                  </w:tcBorders>
                  <w:shd w:val="clear" w:color="auto" w:fill="FFFFFF"/>
                  <w:vAlign w:val="center"/>
                </w:tcPr>
                <w:p>
                  <w:r>
                    <w:rPr>
                      <w:rFonts w:ascii="Arial" w:hAnsi="Arial" w:eastAsia="Arial" w:cs="Arial"/>
                      <w:sz w:val="20"/>
                    </w:rPr>
                    <w:t>140.9</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昼间</w:t>
                  </w:r>
                </w:p>
              </w:tc>
              <w:tc>
                <w:tcPr>
                  <w:tcW w:w="1123" w:type="dxa"/>
                  <w:tcBorders>
                    <w:tl2br w:val="nil"/>
                    <w:tr2bl w:val="nil"/>
                  </w:tcBorders>
                  <w:shd w:val="clear" w:color="auto" w:fill="FFFFFF"/>
                  <w:vAlign w:val="center"/>
                </w:tcPr>
                <w:p>
                  <w:r>
                    <w:rPr>
                      <w:rFonts w:ascii="Arial" w:hAnsi="Arial" w:eastAsia="Arial" w:cs="Arial"/>
                      <w:sz w:val="20"/>
                    </w:rPr>
                    <w:t>30.8</w:t>
                  </w:r>
                </w:p>
              </w:tc>
              <w:tc>
                <w:tcPr>
                  <w:tcW w:w="1242" w:type="dxa"/>
                  <w:tcBorders>
                    <w:tl2br w:val="nil"/>
                    <w:tr2bl w:val="nil"/>
                  </w:tcBorders>
                  <w:shd w:val="clear" w:color="auto" w:fill="FFFFFF"/>
                  <w:vAlign w:val="center"/>
                </w:tcPr>
                <w:p>
                  <w:r>
                    <w:rPr>
                      <w:rFonts w:ascii="Arial" w:hAnsi="Arial" w:eastAsia="Arial" w:cs="Arial"/>
                      <w:sz w:val="20"/>
                    </w:rPr>
                    <w:t>55</w:t>
                  </w:r>
                </w:p>
              </w:tc>
              <w:tc>
                <w:tcPr>
                  <w:tcW w:w="1368" w:type="dxa"/>
                  <w:tcBorders>
                    <w:tl2br w:val="nil"/>
                    <w:tr2bl w:val="nil"/>
                  </w:tcBorders>
                  <w:shd w:val="clear" w:color="auto" w:fill="FFFFFF"/>
                  <w:vAlign w:val="center"/>
                </w:tcPr>
                <w:p>
                  <w:r>
                    <w:rPr>
                      <w:rFonts w:ascii="Arial" w:hAnsi="Arial" w:eastAsia="Arial" w:cs="Arial"/>
                      <w:sz w:val="20"/>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8" w:hRule="exact"/>
                <w:jc w:val="center"/>
              </w:trPr>
              <w:tc>
                <w:tcPr>
                  <w:tcW w:w="662" w:type="dxa"/>
                  <w:vMerge w:val="continue"/>
                  <w:tcBorders>
                    <w:tl2br w:val="nil"/>
                    <w:tr2bl w:val="nil"/>
                  </w:tcBorders>
                  <w:shd w:val="clear" w:color="auto" w:fill="FFFFFF"/>
                  <w:vAlign w:val="center"/>
                </w:tcPr>
                <w:p>
                  <w:r>
                    <w:rPr>
                      <w:rFonts w:ascii="Arial" w:hAnsi="Arial" w:eastAsia="Arial" w:cs="Arial"/>
                      <w:sz w:val="20"/>
                    </w:rPr>
                    <w:t>北侧</w:t>
                  </w:r>
                </w:p>
              </w:tc>
              <w:tc>
                <w:tcPr>
                  <w:tcW w:w="803" w:type="dxa"/>
                  <w:tcBorders>
                    <w:tl2br w:val="nil"/>
                    <w:tr2bl w:val="nil"/>
                  </w:tcBorders>
                  <w:shd w:val="clear" w:color="auto" w:fill="FFFFFF"/>
                  <w:vAlign w:val="center"/>
                </w:tcPr>
                <w:p>
                  <w:r>
                    <w:rPr>
                      <w:rFonts w:ascii="Arial" w:hAnsi="Arial" w:eastAsia="Arial" w:cs="Arial"/>
                      <w:sz w:val="20"/>
                    </w:rPr>
                    <w:t>-134.3</w:t>
                  </w:r>
                </w:p>
              </w:tc>
              <w:tc>
                <w:tcPr>
                  <w:tcW w:w="803" w:type="dxa"/>
                  <w:tcBorders>
                    <w:tl2br w:val="nil"/>
                    <w:tr2bl w:val="nil"/>
                  </w:tcBorders>
                  <w:shd w:val="clear" w:color="auto" w:fill="FFFFFF"/>
                  <w:vAlign w:val="center"/>
                </w:tcPr>
                <w:p>
                  <w:r>
                    <w:rPr>
                      <w:rFonts w:ascii="Arial" w:hAnsi="Arial" w:eastAsia="Arial" w:cs="Arial"/>
                      <w:sz w:val="20"/>
                    </w:rPr>
                    <w:t>140.9</w:t>
                  </w:r>
                </w:p>
              </w:tc>
              <w:tc>
                <w:tcPr>
                  <w:tcW w:w="803" w:type="dxa"/>
                  <w:tcBorders>
                    <w:tl2br w:val="nil"/>
                    <w:tr2bl w:val="nil"/>
                  </w:tcBorders>
                  <w:shd w:val="clear" w:color="auto" w:fill="FFFFFF"/>
                  <w:vAlign w:val="center"/>
                </w:tcPr>
                <w:p>
                  <w:r>
                    <w:rPr>
                      <w:rFonts w:ascii="Arial" w:hAnsi="Arial" w:eastAsia="Arial" w:cs="Arial"/>
                      <w:sz w:val="20"/>
                    </w:rPr>
                    <w:t>1.2</w:t>
                  </w:r>
                </w:p>
              </w:tc>
              <w:tc>
                <w:tcPr>
                  <w:tcW w:w="640" w:type="dxa"/>
                  <w:tcBorders>
                    <w:tl2br w:val="nil"/>
                    <w:tr2bl w:val="nil"/>
                  </w:tcBorders>
                  <w:shd w:val="clear" w:color="auto" w:fill="FFFFFF"/>
                  <w:vAlign w:val="center"/>
                </w:tcPr>
                <w:p>
                  <w:r>
                    <w:rPr>
                      <w:rFonts w:ascii="Arial" w:hAnsi="Arial" w:eastAsia="Arial" w:cs="Arial"/>
                      <w:sz w:val="20"/>
                    </w:rPr>
                    <w:t>夜间</w:t>
                  </w:r>
                </w:p>
              </w:tc>
              <w:tc>
                <w:tcPr>
                  <w:tcW w:w="1123" w:type="dxa"/>
                  <w:tcBorders>
                    <w:tl2br w:val="nil"/>
                    <w:tr2bl w:val="nil"/>
                  </w:tcBorders>
                  <w:shd w:val="clear" w:color="auto" w:fill="FFFFFF"/>
                  <w:vAlign w:val="center"/>
                </w:tcPr>
                <w:p>
                  <w:r>
                    <w:rPr>
                      <w:rFonts w:ascii="Arial" w:hAnsi="Arial" w:eastAsia="Arial" w:cs="Arial"/>
                      <w:sz w:val="20"/>
                    </w:rPr>
                    <w:t>30.8</w:t>
                  </w:r>
                </w:p>
              </w:tc>
              <w:tc>
                <w:tcPr>
                  <w:tcW w:w="1242" w:type="dxa"/>
                  <w:tcBorders>
                    <w:tl2br w:val="nil"/>
                    <w:tr2bl w:val="nil"/>
                  </w:tcBorders>
                  <w:shd w:val="clear" w:color="auto" w:fill="FFFFFF"/>
                  <w:vAlign w:val="center"/>
                </w:tcPr>
                <w:p>
                  <w:r>
                    <w:rPr>
                      <w:rFonts w:ascii="Arial" w:hAnsi="Arial" w:eastAsia="Arial" w:cs="Arial"/>
                      <w:sz w:val="20"/>
                    </w:rPr>
                    <w:t>45</w:t>
                  </w:r>
                </w:p>
              </w:tc>
              <w:tc>
                <w:tcPr>
                  <w:tcW w:w="1368" w:type="dxa"/>
                  <w:tcBorders>
                    <w:tl2br w:val="nil"/>
                    <w:tr2bl w:val="nil"/>
                  </w:tcBorders>
                  <w:shd w:val="clear" w:color="auto" w:fill="FFFFFF"/>
                  <w:vAlign w:val="center"/>
                </w:tcPr>
                <w:p>
                  <w:r>
                    <w:rPr>
                      <w:rFonts w:ascii="Arial" w:hAnsi="Arial" w:eastAsia="Arial" w:cs="Arial"/>
                      <w:sz w:val="20"/>
                    </w:rPr>
                    <w:t>达标</w:t>
                  </w:r>
                </w:p>
              </w:tc>
            </w:tr>
          </w:tbl>
          <w:p>
            <w:pPr>
              <w:ind w:firstLine="211" w:firstLineChars="100"/>
              <w:rPr>
                <w:rFonts w:ascii="Times New Roman" w:hAnsi="Times New Roman" w:cs="Times New Roman"/>
                <w:b/>
                <w:bCs w:val="0"/>
              </w:rPr>
            </w:pPr>
            <w:r>
              <w:rPr>
                <w:rFonts w:hint="default" w:ascii="Times New Roman" w:hAnsi="Times New Roman" w:cs="Times New Roman" w:eastAsiaTheme="minorEastAsia"/>
                <w:b/>
                <w:bCs w:val="0"/>
                <w:sz w:val="21"/>
                <w:szCs w:val="21"/>
                <w:lang w:val="en-US" w:eastAsia="zh-CN"/>
              </w:rPr>
              <w:t>表中坐标以厂界中心（</w:t>
            </w:r>
            <w:bookmarkStart w:id="4" w:name="PO_8"/>
            <w:r>
              <w:rPr>
                <w:rFonts w:hint="default" w:ascii="Times New Roman" w:hAnsi="Times New Roman" w:cs="Times New Roman" w:eastAsiaTheme="minorEastAsia"/>
                <w:b/>
                <w:bCs w:val="0"/>
                <w:sz w:val="21"/>
                <w:szCs w:val="21"/>
                <w:lang w:val="en-US" w:eastAsia="zh-CN"/>
              </w:rPr>
              <w:t>102.429992,36.472969</w:t>
            </w:r>
            <w:bookmarkEnd w:id="4"/>
            <w:r>
              <w:rPr>
                <w:rFonts w:hint="default" w:ascii="Times New Roman" w:hAnsi="Times New Roman" w:cs="Times New Roman" w:eastAsiaTheme="minorEastAsia"/>
                <w:b/>
                <w:bCs w:val="0"/>
                <w:sz w:val="21"/>
                <w:szCs w:val="21"/>
                <w:lang w:val="en-US" w:eastAsia="zh-CN"/>
              </w:rPr>
              <w:t>）为坐标原点，正东向为X轴正方向，正北向为Y轴正方向</w:t>
            </w:r>
          </w:p>
          <w:p>
            <w:pPr>
              <w:pStyle w:val="60"/>
              <w:bidi w:val="0"/>
              <w:rPr>
                <w:rFonts w:hint="eastAsia"/>
                <w:color w:val="auto"/>
                <w:lang w:eastAsia="zh-CN"/>
              </w:rPr>
            </w:pPr>
            <w:r>
              <w:rPr>
                <w:rFonts w:ascii="Times New Roman" w:hAnsi="Times New Roman" w:cs="Times New Roman" w:eastAsiaTheme="minorEastAsia"/>
                <w:color w:val="000000"/>
                <w:sz w:val="24"/>
                <w:szCs w:val="24"/>
                <w:lang w:eastAsia="zh-CN"/>
              </w:rPr>
              <w:t xml:space="preserve">由上表可知，正常工况下，项目厂界噪声满足《工业企业厂界环境噪声排放标准》(GB12348.2008) </w:t>
            </w:r>
            <w:bookmarkStart w:id="5" w:name="PO_3"/>
            <w:r>
              <w:rPr>
                <w:rFonts w:ascii="Times New Roman" w:hAnsi="Times New Roman" w:cs="Times New Roman" w:eastAsiaTheme="minorEastAsia"/>
                <w:color w:val="000000"/>
                <w:sz w:val="24"/>
                <w:szCs w:val="24"/>
                <w:lang w:eastAsia="zh-CN"/>
              </w:rPr>
              <w:t>1</w:t>
            </w:r>
            <w:bookmarkEnd w:id="5"/>
            <w:r>
              <w:rPr>
                <w:rFonts w:ascii="Times New Roman" w:hAnsi="Times New Roman" w:cs="Times New Roman" w:eastAsiaTheme="minorEastAsia"/>
                <w:color w:val="000000"/>
                <w:sz w:val="24"/>
                <w:szCs w:val="24"/>
                <w:lang w:eastAsia="zh-CN"/>
              </w:rPr>
              <w:t>类标准。</w:t>
            </w:r>
            <w:r>
              <w:rPr>
                <w:rFonts w:hint="eastAsia"/>
                <w:color w:val="auto"/>
                <w:lang w:val="en-US" w:eastAsia="zh-CN"/>
              </w:rPr>
              <w:t>不会对周围环境产生明显影响。</w:t>
            </w:r>
          </w:p>
          <w:p>
            <w:pPr>
              <w:pStyle w:val="9"/>
              <w:tabs>
                <w:tab w:val="left" w:pos="892"/>
              </w:tabs>
              <w:snapToGrid w:val="0"/>
              <w:spacing w:before="72"/>
              <w:ind w:right="203"/>
              <w:jc w:val="center"/>
              <w:rPr>
                <w:rFonts w:hint="default" w:ascii="Times New Roman" w:hAnsi="Times New Roman" w:cs="Times New Roman"/>
                <w:sz w:val="24"/>
                <w:szCs w:val="24"/>
                <w:lang w:eastAsia="zh-CN"/>
              </w:rPr>
            </w:pPr>
            <w:r>
              <w:rPr>
                <w:rFonts w:hint="default" w:ascii="Times New Roman" w:hAnsi="Times New Roman" w:cs="Times New Roman" w:eastAsiaTheme="minorEastAsia"/>
                <w:b/>
                <w:sz w:val="24"/>
                <w:szCs w:val="24"/>
                <w:lang w:val="en-US" w:eastAsia="zh-CN"/>
              </w:rPr>
              <w:t>表4-</w:t>
            </w:r>
            <w:r>
              <w:rPr>
                <w:rFonts w:hint="eastAsia" w:cs="Times New Roman" w:eastAsiaTheme="minorEastAsia"/>
                <w:b/>
                <w:sz w:val="24"/>
                <w:szCs w:val="24"/>
                <w:lang w:val="en-US" w:eastAsia="zh-CN"/>
              </w:rPr>
              <w:t>9</w:t>
            </w:r>
            <w:r>
              <w:rPr>
                <w:rFonts w:hint="default"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lang w:eastAsia="zh-CN"/>
              </w:rPr>
              <w:t>工</w:t>
            </w:r>
            <w:r>
              <w:rPr>
                <w:rFonts w:hint="default" w:ascii="Times New Roman" w:hAnsi="Times New Roman" w:cs="Times New Roman" w:eastAsiaTheme="minorEastAsia"/>
                <w:b/>
                <w:spacing w:val="-3"/>
                <w:sz w:val="24"/>
                <w:szCs w:val="24"/>
                <w:lang w:eastAsia="zh-CN"/>
              </w:rPr>
              <w:t>业</w:t>
            </w:r>
            <w:r>
              <w:rPr>
                <w:rFonts w:hint="default" w:ascii="Times New Roman" w:hAnsi="Times New Roman" w:cs="Times New Roman" w:eastAsiaTheme="minorEastAsia"/>
                <w:b/>
                <w:sz w:val="24"/>
                <w:szCs w:val="24"/>
                <w:lang w:eastAsia="zh-CN"/>
              </w:rPr>
              <w:t>企</w:t>
            </w:r>
            <w:r>
              <w:rPr>
                <w:rFonts w:hint="default" w:ascii="Times New Roman" w:hAnsi="Times New Roman" w:cs="Times New Roman" w:eastAsiaTheme="minorEastAsia"/>
                <w:b/>
                <w:spacing w:val="-3"/>
                <w:sz w:val="24"/>
                <w:szCs w:val="24"/>
                <w:lang w:eastAsia="zh-CN"/>
              </w:rPr>
              <w:t>业</w:t>
            </w:r>
            <w:r>
              <w:rPr>
                <w:rFonts w:hint="default" w:ascii="Times New Roman" w:hAnsi="Times New Roman" w:cs="Times New Roman" w:eastAsiaTheme="minorEastAsia"/>
                <w:b/>
                <w:sz w:val="24"/>
                <w:szCs w:val="24"/>
                <w:lang w:eastAsia="zh-CN"/>
              </w:rPr>
              <w:t>声</w:t>
            </w:r>
            <w:r>
              <w:rPr>
                <w:rFonts w:hint="default" w:ascii="Times New Roman" w:hAnsi="Times New Roman" w:cs="Times New Roman" w:eastAsiaTheme="minorEastAsia"/>
                <w:b/>
                <w:spacing w:val="-3"/>
                <w:sz w:val="24"/>
                <w:szCs w:val="24"/>
                <w:lang w:eastAsia="zh-CN"/>
              </w:rPr>
              <w:t>环境</w:t>
            </w:r>
            <w:r>
              <w:rPr>
                <w:rFonts w:hint="default" w:ascii="Times New Roman" w:hAnsi="Times New Roman" w:cs="Times New Roman" w:eastAsiaTheme="minorEastAsia"/>
                <w:b/>
                <w:sz w:val="24"/>
                <w:szCs w:val="24"/>
                <w:lang w:eastAsia="zh-CN"/>
              </w:rPr>
              <w:t>保护</w:t>
            </w:r>
            <w:r>
              <w:rPr>
                <w:rFonts w:hint="default" w:ascii="Times New Roman" w:hAnsi="Times New Roman" w:cs="Times New Roman" w:eastAsiaTheme="minorEastAsia"/>
                <w:b/>
                <w:spacing w:val="-3"/>
                <w:sz w:val="24"/>
                <w:szCs w:val="24"/>
                <w:lang w:eastAsia="zh-CN"/>
              </w:rPr>
              <w:t>目</w:t>
            </w:r>
            <w:r>
              <w:rPr>
                <w:rFonts w:hint="default" w:ascii="Times New Roman" w:hAnsi="Times New Roman" w:cs="Times New Roman" w:eastAsiaTheme="minorEastAsia"/>
                <w:b/>
                <w:sz w:val="24"/>
                <w:szCs w:val="24"/>
                <w:lang w:eastAsia="zh-CN"/>
              </w:rPr>
              <w:t>标</w:t>
            </w:r>
            <w:r>
              <w:rPr>
                <w:rFonts w:hint="default" w:ascii="Times New Roman" w:hAnsi="Times New Roman" w:cs="Times New Roman" w:eastAsiaTheme="minorEastAsia"/>
                <w:b/>
                <w:spacing w:val="-3"/>
                <w:sz w:val="24"/>
                <w:szCs w:val="24"/>
                <w:lang w:eastAsia="zh-CN"/>
              </w:rPr>
              <w:t>噪</w:t>
            </w:r>
            <w:r>
              <w:rPr>
                <w:rFonts w:hint="default" w:ascii="Times New Roman" w:hAnsi="Times New Roman" w:cs="Times New Roman" w:eastAsiaTheme="minorEastAsia"/>
                <w:b/>
                <w:sz w:val="24"/>
                <w:szCs w:val="24"/>
                <w:lang w:eastAsia="zh-CN"/>
              </w:rPr>
              <w:t>声</w:t>
            </w:r>
            <w:r>
              <w:rPr>
                <w:rFonts w:hint="default" w:ascii="Times New Roman" w:hAnsi="Times New Roman" w:cs="Times New Roman" w:eastAsiaTheme="minorEastAsia"/>
                <w:b/>
                <w:spacing w:val="-3"/>
                <w:sz w:val="24"/>
                <w:szCs w:val="24"/>
                <w:lang w:eastAsia="zh-CN"/>
              </w:rPr>
              <w:t>预</w:t>
            </w:r>
            <w:r>
              <w:rPr>
                <w:rFonts w:hint="default" w:ascii="Times New Roman" w:hAnsi="Times New Roman" w:cs="Times New Roman" w:eastAsiaTheme="minorEastAsia"/>
                <w:b/>
                <w:sz w:val="24"/>
                <w:szCs w:val="24"/>
                <w:lang w:eastAsia="zh-CN"/>
              </w:rPr>
              <w:t>测</w:t>
            </w:r>
            <w:r>
              <w:rPr>
                <w:rFonts w:hint="default" w:ascii="Times New Roman" w:hAnsi="Times New Roman" w:cs="Times New Roman" w:eastAsiaTheme="minorEastAsia"/>
                <w:b/>
                <w:spacing w:val="-3"/>
                <w:sz w:val="24"/>
                <w:szCs w:val="24"/>
                <w:lang w:eastAsia="zh-CN"/>
              </w:rPr>
              <w:t>结</w:t>
            </w:r>
            <w:r>
              <w:rPr>
                <w:rFonts w:hint="default" w:ascii="Times New Roman" w:hAnsi="Times New Roman" w:cs="Times New Roman" w:eastAsiaTheme="minorEastAsia"/>
                <w:b/>
                <w:sz w:val="24"/>
                <w:szCs w:val="24"/>
                <w:lang w:eastAsia="zh-CN"/>
              </w:rPr>
              <w:t>果</w:t>
            </w:r>
            <w:r>
              <w:rPr>
                <w:rFonts w:hint="default" w:ascii="Times New Roman" w:hAnsi="Times New Roman" w:cs="Times New Roman" w:eastAsiaTheme="minorEastAsia"/>
                <w:b/>
                <w:spacing w:val="-3"/>
                <w:sz w:val="24"/>
                <w:szCs w:val="24"/>
                <w:lang w:eastAsia="zh-CN"/>
              </w:rPr>
              <w:t>与</w:t>
            </w:r>
            <w:r>
              <w:rPr>
                <w:rFonts w:hint="default" w:ascii="Times New Roman" w:hAnsi="Times New Roman" w:cs="Times New Roman" w:eastAsiaTheme="minorEastAsia"/>
                <w:b/>
                <w:sz w:val="24"/>
                <w:szCs w:val="24"/>
                <w:lang w:eastAsia="zh-CN"/>
              </w:rPr>
              <w:t>达标</w:t>
            </w:r>
            <w:r>
              <w:rPr>
                <w:rFonts w:hint="default" w:ascii="Times New Roman" w:hAnsi="Times New Roman" w:cs="Times New Roman" w:eastAsiaTheme="minorEastAsia"/>
                <w:b/>
                <w:spacing w:val="-3"/>
                <w:sz w:val="24"/>
                <w:szCs w:val="24"/>
                <w:lang w:eastAsia="zh-CN"/>
              </w:rPr>
              <w:t>分</w:t>
            </w:r>
            <w:r>
              <w:rPr>
                <w:rFonts w:hint="default" w:ascii="Times New Roman" w:hAnsi="Times New Roman" w:cs="Times New Roman" w:eastAsiaTheme="minorEastAsia"/>
                <w:b/>
                <w:sz w:val="24"/>
                <w:szCs w:val="24"/>
                <w:lang w:eastAsia="zh-CN"/>
              </w:rPr>
              <w:t>析表</w:t>
            </w:r>
            <w:bookmarkStart w:id="6" w:name="PT_8"/>
          </w:p>
          <w:tbl>
            <w:tblPr>
              <w:tblStyle w:val="21"/>
              <w:tblW w:w="78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2"/>
              <w:gridCol w:w="753"/>
              <w:gridCol w:w="752"/>
              <w:gridCol w:w="652"/>
              <w:gridCol w:w="652"/>
              <w:gridCol w:w="753"/>
              <w:gridCol w:w="672"/>
              <w:gridCol w:w="647"/>
              <w:gridCol w:w="737"/>
              <w:gridCol w:w="669"/>
              <w:gridCol w:w="6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0" w:hRule="exact"/>
                <w:jc w:val="center"/>
              </w:trPr>
              <w:tc>
                <w:tcPr>
                  <w:tcW w:w="952" w:type="dxa"/>
                  <w:vMerge w:val="restart"/>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声环境保护目标名称</w:t>
                  </w:r>
                </w:p>
              </w:tc>
              <w:tc>
                <w:tcPr>
                  <w:tcW w:w="1505" w:type="dxa"/>
                  <w:gridSpan w:val="2"/>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噪声背景值/dB(A)</w:t>
                  </w:r>
                </w:p>
              </w:tc>
              <w:tc>
                <w:tcPr>
                  <w:tcW w:w="1304" w:type="dxa"/>
                  <w:gridSpan w:val="2"/>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噪声贡献值/dB(A)</w:t>
                  </w:r>
                </w:p>
              </w:tc>
              <w:tc>
                <w:tcPr>
                  <w:tcW w:w="1425" w:type="dxa"/>
                  <w:gridSpan w:val="2"/>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噪声预测值/dB(A)</w:t>
                  </w:r>
                </w:p>
              </w:tc>
              <w:tc>
                <w:tcPr>
                  <w:tcW w:w="1384" w:type="dxa"/>
                  <w:gridSpan w:val="2"/>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较现状增量/dB(A)</w:t>
                  </w:r>
                </w:p>
              </w:tc>
              <w:tc>
                <w:tcPr>
                  <w:tcW w:w="1294" w:type="dxa"/>
                  <w:gridSpan w:val="2"/>
                  <w:tcBorders>
                    <w:tl2br w:val="nil"/>
                    <w:tr2bl w:val="nil"/>
                  </w:tcBorders>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b/>
                      <w:sz w:val="21"/>
                      <w:szCs w:val="21"/>
                    </w:rPr>
                    <w:t>超标和达标情况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vMerge w:val="continue"/>
                  <w:tcBorders>
                    <w:tl2br w:val="nil"/>
                    <w:tr2bl w:val="nil"/>
                  </w:tcBorders>
                  <w:shd w:val="clear" w:color="auto" w:fill="FFFFFF"/>
                  <w:vAlign w:val="center"/>
                </w:tcPr>
                <w:p>
                  <w:pPr>
                    <w:jc w:val="center"/>
                    <w:rPr>
                      <w:rFonts w:ascii="Times New Roman" w:hAnsi="Times New Roman" w:cs="Times New Roman" w:eastAsiaTheme="minorEastAsia"/>
                      <w:sz w:val="21"/>
                      <w:szCs w:val="21"/>
                    </w:rPr>
                  </w:pPr>
                </w:p>
              </w:tc>
              <w:tc>
                <w:tcPr>
                  <w:tcW w:w="753"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昼间</w:t>
                  </w:r>
                </w:p>
              </w:tc>
              <w:tc>
                <w:tcPr>
                  <w:tcW w:w="752"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夜间</w:t>
                  </w:r>
                </w:p>
              </w:tc>
              <w:tc>
                <w:tcPr>
                  <w:tcW w:w="652"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昼间</w:t>
                  </w:r>
                </w:p>
              </w:tc>
              <w:tc>
                <w:tcPr>
                  <w:tcW w:w="652"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夜间</w:t>
                  </w:r>
                </w:p>
              </w:tc>
              <w:tc>
                <w:tcPr>
                  <w:tcW w:w="753"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昼间</w:t>
                  </w:r>
                </w:p>
              </w:tc>
              <w:tc>
                <w:tcPr>
                  <w:tcW w:w="672"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夜间</w:t>
                  </w:r>
                </w:p>
              </w:tc>
              <w:tc>
                <w:tcPr>
                  <w:tcW w:w="647"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昼间</w:t>
                  </w:r>
                </w:p>
              </w:tc>
              <w:tc>
                <w:tcPr>
                  <w:tcW w:w="737"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夜间</w:t>
                  </w:r>
                </w:p>
              </w:tc>
              <w:tc>
                <w:tcPr>
                  <w:tcW w:w="669"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昼间</w:t>
                  </w:r>
                </w:p>
              </w:tc>
              <w:tc>
                <w:tcPr>
                  <w:tcW w:w="625" w:type="dxa"/>
                  <w:tcBorders>
                    <w:tl2br w:val="nil"/>
                    <w:tr2bl w:val="nil"/>
                  </w:tcBorders>
                  <w:shd w:val="clear" w:color="auto" w:fill="FFFFFF"/>
                  <w:vAlign w:val="center"/>
                </w:tcPr>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夜间</w:t>
                  </w:r>
                  <w:bookmarkEnd w:id="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0" w:hRule="atLeast"/>
                <w:jc w:val="center"/>
              </w:trPr>
              <w:tc>
                <w:tcPr>
                  <w:tcW w:w="952" w:type="dxa"/>
                  <w:tcBorders>
                    <w:tl2br w:val="nil"/>
                    <w:tr2bl w:val="nil"/>
                  </w:tcBorders>
                  <w:shd w:val="clear" w:color="auto" w:fill="FFFFFF"/>
                  <w:vAlign w:val="center"/>
                </w:tcPr>
                <w:p>
                  <w:r>
                    <w:rPr>
                      <w:rFonts w:ascii="Arial" w:hAnsi="Arial" w:eastAsia="Arial" w:cs="Arial"/>
                      <w:sz w:val="20"/>
                    </w:rPr>
                    <w:t>东岗村</w:t>
                  </w:r>
                </w:p>
              </w:tc>
              <w:tc>
                <w:tcPr>
                  <w:tcW w:w="753" w:type="dxa"/>
                  <w:tcBorders>
                    <w:tl2br w:val="nil"/>
                    <w:tr2bl w:val="nil"/>
                  </w:tcBorders>
                  <w:shd w:val="clear" w:color="auto" w:fill="FFFFFF"/>
                  <w:vAlign w:val="center"/>
                </w:tcPr>
                <w:p>
                  <w:r>
                    <w:rPr>
                      <w:rFonts w:ascii="Arial" w:hAnsi="Arial" w:eastAsia="Arial" w:cs="Arial"/>
                      <w:sz w:val="20"/>
                    </w:rPr>
                    <w:t>41.4</w:t>
                  </w:r>
                </w:p>
              </w:tc>
              <w:tc>
                <w:tcPr>
                  <w:tcW w:w="752" w:type="dxa"/>
                  <w:tcBorders>
                    <w:tl2br w:val="nil"/>
                    <w:tr2bl w:val="nil"/>
                  </w:tcBorders>
                  <w:shd w:val="clear" w:color="auto" w:fill="FFFFFF"/>
                  <w:vAlign w:val="center"/>
                </w:tcPr>
                <w:p>
                  <w:r>
                    <w:rPr>
                      <w:rFonts w:ascii="Arial" w:hAnsi="Arial" w:eastAsia="Arial" w:cs="Arial"/>
                      <w:sz w:val="20"/>
                    </w:rPr>
                    <w:t>40.6</w:t>
                  </w:r>
                </w:p>
              </w:tc>
              <w:tc>
                <w:tcPr>
                  <w:tcW w:w="652" w:type="dxa"/>
                  <w:tcBorders>
                    <w:tl2br w:val="nil"/>
                    <w:tr2bl w:val="nil"/>
                  </w:tcBorders>
                  <w:shd w:val="clear" w:color="auto" w:fill="FFFFFF"/>
                  <w:vAlign w:val="center"/>
                </w:tcPr>
                <w:p>
                  <w:r>
                    <w:rPr>
                      <w:rFonts w:ascii="Arial" w:hAnsi="Arial" w:eastAsia="Arial" w:cs="Arial"/>
                      <w:sz w:val="20"/>
                    </w:rPr>
                    <w:t>0</w:t>
                  </w:r>
                </w:p>
              </w:tc>
              <w:tc>
                <w:tcPr>
                  <w:tcW w:w="652" w:type="dxa"/>
                  <w:tcBorders>
                    <w:tl2br w:val="nil"/>
                    <w:tr2bl w:val="nil"/>
                  </w:tcBorders>
                  <w:shd w:val="clear" w:color="auto" w:fill="FFFFFF"/>
                  <w:vAlign w:val="center"/>
                </w:tcPr>
                <w:p>
                  <w:r>
                    <w:rPr>
                      <w:rFonts w:ascii="Arial" w:hAnsi="Arial" w:eastAsia="Arial" w:cs="Arial"/>
                      <w:sz w:val="20"/>
                    </w:rPr>
                    <w:t>0</w:t>
                  </w:r>
                </w:p>
              </w:tc>
              <w:tc>
                <w:tcPr>
                  <w:tcW w:w="753" w:type="dxa"/>
                  <w:tcBorders>
                    <w:tl2br w:val="nil"/>
                    <w:tr2bl w:val="nil"/>
                  </w:tcBorders>
                  <w:shd w:val="clear" w:color="auto" w:fill="FFFFFF"/>
                  <w:vAlign w:val="center"/>
                </w:tcPr>
                <w:p>
                  <w:r>
                    <w:rPr>
                      <w:rFonts w:ascii="Arial" w:hAnsi="Arial" w:eastAsia="Arial" w:cs="Arial"/>
                      <w:sz w:val="20"/>
                    </w:rPr>
                    <w:t>41.4</w:t>
                  </w:r>
                </w:p>
              </w:tc>
              <w:tc>
                <w:tcPr>
                  <w:tcW w:w="672" w:type="dxa"/>
                  <w:tcBorders>
                    <w:tl2br w:val="nil"/>
                    <w:tr2bl w:val="nil"/>
                  </w:tcBorders>
                  <w:shd w:val="clear" w:color="auto" w:fill="FFFFFF"/>
                  <w:vAlign w:val="center"/>
                </w:tcPr>
                <w:p>
                  <w:r>
                    <w:rPr>
                      <w:rFonts w:ascii="Arial" w:hAnsi="Arial" w:eastAsia="Arial" w:cs="Arial"/>
                      <w:sz w:val="20"/>
                    </w:rPr>
                    <w:t>40.6</w:t>
                  </w:r>
                </w:p>
              </w:tc>
              <w:tc>
                <w:tcPr>
                  <w:tcW w:w="647" w:type="dxa"/>
                  <w:tcBorders>
                    <w:tl2br w:val="nil"/>
                    <w:tr2bl w:val="nil"/>
                  </w:tcBorders>
                  <w:shd w:val="clear" w:color="auto" w:fill="FFFFFF"/>
                  <w:vAlign w:val="center"/>
                </w:tcPr>
                <w:p>
                  <w:r>
                    <w:rPr>
                      <w:rFonts w:ascii="Arial" w:hAnsi="Arial" w:eastAsia="Arial" w:cs="Arial"/>
                      <w:sz w:val="20"/>
                    </w:rPr>
                    <w:t>0.0</w:t>
                  </w:r>
                </w:p>
              </w:tc>
              <w:tc>
                <w:tcPr>
                  <w:tcW w:w="737" w:type="dxa"/>
                  <w:tcBorders>
                    <w:tl2br w:val="nil"/>
                    <w:tr2bl w:val="nil"/>
                  </w:tcBorders>
                  <w:shd w:val="clear" w:color="auto" w:fill="FFFFFF"/>
                  <w:vAlign w:val="center"/>
                </w:tcPr>
                <w:p>
                  <w:r>
                    <w:rPr>
                      <w:rFonts w:ascii="Arial" w:hAnsi="Arial" w:eastAsia="Arial" w:cs="Arial"/>
                      <w:sz w:val="20"/>
                    </w:rPr>
                    <w:t>0.0</w:t>
                  </w:r>
                </w:p>
              </w:tc>
              <w:tc>
                <w:tcPr>
                  <w:tcW w:w="669" w:type="dxa"/>
                  <w:tcBorders>
                    <w:tl2br w:val="nil"/>
                    <w:tr2bl w:val="nil"/>
                  </w:tcBorders>
                  <w:shd w:val="clear" w:color="auto" w:fill="FFFFFF"/>
                  <w:vAlign w:val="center"/>
                </w:tcPr>
                <w:p>
                  <w:r>
                    <w:rPr>
                      <w:rFonts w:ascii="Arial" w:hAnsi="Arial" w:eastAsia="Arial" w:cs="Arial"/>
                      <w:sz w:val="20"/>
                    </w:rPr>
                    <w:t>达标</w:t>
                  </w:r>
                </w:p>
              </w:tc>
              <w:tc>
                <w:tcPr>
                  <w:tcW w:w="625" w:type="dxa"/>
                  <w:tcBorders>
                    <w:tl2br w:val="nil"/>
                    <w:tr2bl w:val="nil"/>
                  </w:tcBorders>
                  <w:shd w:val="clear" w:color="auto" w:fill="FFFFFF"/>
                  <w:vAlign w:val="center"/>
                </w:tcPr>
                <w:p>
                  <w:r>
                    <w:rPr>
                      <w:rFonts w:ascii="Arial" w:hAnsi="Arial" w:eastAsia="Arial" w:cs="Arial"/>
                      <w:sz w:val="20"/>
                    </w:rPr>
                    <w:t>达标</w:t>
                  </w:r>
                </w:p>
              </w:tc>
            </w:tr>
          </w:tbl>
          <w:p>
            <w:pPr>
              <w:keepNext/>
              <w:keepLines/>
              <w:pageBreakBefore w:val="0"/>
              <w:bidi w:val="0"/>
              <w:spacing w:line="360" w:lineRule="auto"/>
              <w:ind w:firstLine="482"/>
              <w:rPr>
                <w:rFonts w:hint="eastAsia"/>
                <w:b/>
                <w:bCs/>
                <w:color w:val="auto"/>
                <w:kern w:val="0"/>
                <w:sz w:val="24"/>
                <w:lang w:eastAsia="zh-CN"/>
              </w:rPr>
            </w:pPr>
            <w:r>
              <w:rPr>
                <w:rFonts w:ascii="Times New Roman" w:hAnsi="Times New Roman" w:cs="Times New Roman" w:eastAsiaTheme="minorEastAsia"/>
                <w:color w:val="000000"/>
                <w:sz w:val="24"/>
                <w:szCs w:val="24"/>
                <w:lang w:val="en-US" w:eastAsia="zh-CN"/>
              </w:rPr>
              <w:t>由上表可知.正常工况下，项目声环境保护目标噪声满足</w:t>
            </w:r>
            <w:r>
              <w:rPr>
                <w:rFonts w:ascii="Times New Roman" w:hAnsi="Times New Roman" w:cs="Times New Roman" w:eastAsiaTheme="minorEastAsia"/>
                <w:color w:val="302116"/>
                <w:sz w:val="24"/>
                <w:szCs w:val="24"/>
                <w:lang w:eastAsia="zh-CN"/>
              </w:rPr>
              <w:t xml:space="preserve">《声环境质量标准》(GB3096-2008) </w:t>
            </w:r>
            <w:bookmarkStart w:id="7" w:name="PO_2"/>
            <w:bookmarkEnd w:id="7"/>
            <w:r>
              <w:rPr>
                <w:rFonts w:hint="eastAsia" w:ascii="Times New Roman" w:hAnsi="Times New Roman" w:cs="Times New Roman" w:eastAsiaTheme="minorEastAsia"/>
                <w:color w:val="302116"/>
                <w:sz w:val="24"/>
                <w:szCs w:val="24"/>
                <w:lang w:val="en-US" w:eastAsia="zh-CN"/>
              </w:rPr>
              <w:t>1</w:t>
            </w:r>
            <w:r>
              <w:rPr>
                <w:rFonts w:ascii="Times New Roman" w:hAnsi="Times New Roman" w:cs="Times New Roman" w:eastAsiaTheme="minorEastAsia"/>
                <w:color w:val="302116"/>
                <w:sz w:val="24"/>
                <w:szCs w:val="24"/>
                <w:lang w:eastAsia="zh-CN"/>
              </w:rPr>
              <w:t>类标准</w:t>
            </w:r>
            <w:r>
              <w:rPr>
                <w:rFonts w:ascii="Times New Roman" w:hAnsi="Times New Roman" w:cs="Times New Roman" w:eastAsiaTheme="minorEastAsia"/>
                <w:color w:val="000000"/>
                <w:sz w:val="24"/>
                <w:szCs w:val="24"/>
                <w:lang w:val="en-US" w:eastAsia="zh-CN"/>
              </w:rPr>
              <w:t>。</w:t>
            </w:r>
          </w:p>
          <w:p>
            <w:pPr>
              <w:keepNext/>
              <w:keepLines/>
              <w:pageBreakBefore w:val="0"/>
              <w:bidi w:val="0"/>
              <w:spacing w:line="360" w:lineRule="auto"/>
              <w:ind w:firstLine="482"/>
              <w:rPr>
                <w:rFonts w:hint="eastAsia"/>
                <w:b/>
                <w:bCs/>
                <w:color w:val="auto"/>
                <w:kern w:val="0"/>
                <w:sz w:val="24"/>
                <w:lang w:eastAsia="zh-CN"/>
              </w:rPr>
            </w:pPr>
            <w:r>
              <w:rPr>
                <w:rFonts w:hint="eastAsia"/>
                <w:b/>
                <w:bCs/>
                <w:color w:val="auto"/>
                <w:kern w:val="0"/>
                <w:sz w:val="24"/>
                <w:lang w:eastAsia="zh-CN"/>
              </w:rPr>
              <w:t>（</w:t>
            </w:r>
            <w:r>
              <w:rPr>
                <w:rFonts w:hint="eastAsia"/>
                <w:b/>
                <w:bCs/>
                <w:color w:val="auto"/>
                <w:kern w:val="0"/>
                <w:sz w:val="24"/>
                <w:lang w:val="en-US" w:eastAsia="zh-CN"/>
              </w:rPr>
              <w:t>3</w:t>
            </w:r>
            <w:r>
              <w:rPr>
                <w:rFonts w:hint="eastAsia"/>
                <w:b/>
                <w:bCs/>
                <w:color w:val="auto"/>
                <w:kern w:val="0"/>
                <w:sz w:val="24"/>
                <w:lang w:eastAsia="zh-CN"/>
              </w:rPr>
              <w:t>）</w:t>
            </w:r>
            <w:r>
              <w:rPr>
                <w:rFonts w:hint="eastAsia"/>
                <w:b/>
                <w:bCs/>
                <w:color w:val="auto"/>
                <w:kern w:val="0"/>
                <w:sz w:val="24"/>
                <w:lang w:val="en-US" w:eastAsia="zh-CN"/>
              </w:rPr>
              <w:t xml:space="preserve">降噪措施 </w:t>
            </w:r>
          </w:p>
          <w:p>
            <w:pPr>
              <w:keepNext/>
              <w:keepLines/>
              <w:pageBreakBefore w:val="0"/>
              <w:bidi w:val="0"/>
              <w:spacing w:line="360" w:lineRule="auto"/>
              <w:ind w:firstLine="482"/>
              <w:rPr>
                <w:rFonts w:hint="eastAsia"/>
                <w:color w:val="auto"/>
                <w:kern w:val="0"/>
                <w:sz w:val="24"/>
                <w:lang w:eastAsia="zh-CN"/>
              </w:rPr>
            </w:pPr>
            <w:r>
              <w:rPr>
                <w:rFonts w:hint="eastAsia"/>
                <w:color w:val="auto"/>
                <w:kern w:val="0"/>
                <w:sz w:val="24"/>
                <w:lang w:val="en-US" w:eastAsia="zh-CN"/>
              </w:rPr>
              <w:t xml:space="preserve">建设单位必须采取严格的隔声降噪措施，具体如下： </w:t>
            </w:r>
          </w:p>
          <w:p>
            <w:pPr>
              <w:keepNext/>
              <w:keepLines/>
              <w:pageBreakBefore w:val="0"/>
              <w:bidi w:val="0"/>
              <w:spacing w:line="360" w:lineRule="auto"/>
              <w:ind w:firstLine="482"/>
              <w:rPr>
                <w:rFonts w:hint="eastAsia"/>
                <w:color w:val="auto"/>
                <w:kern w:val="0"/>
                <w:sz w:val="24"/>
                <w:lang w:eastAsia="zh-CN"/>
              </w:rPr>
            </w:pPr>
            <w:r>
              <w:rPr>
                <w:rFonts w:hint="eastAsia"/>
                <w:color w:val="auto"/>
                <w:kern w:val="0"/>
                <w:sz w:val="24"/>
                <w:lang w:val="en-US" w:eastAsia="zh-CN"/>
              </w:rPr>
              <w:t xml:space="preserve">1 .合理设备选型，尽量选用低噪声设备； </w:t>
            </w:r>
          </w:p>
          <w:p>
            <w:pPr>
              <w:keepNext/>
              <w:keepLines/>
              <w:pageBreakBefore w:val="0"/>
              <w:bidi w:val="0"/>
              <w:spacing w:line="360" w:lineRule="auto"/>
              <w:ind w:firstLine="482"/>
              <w:rPr>
                <w:rFonts w:hint="eastAsia"/>
                <w:color w:val="auto"/>
                <w:kern w:val="0"/>
                <w:sz w:val="24"/>
                <w:lang w:eastAsia="zh-CN"/>
              </w:rPr>
            </w:pPr>
            <w:r>
              <w:rPr>
                <w:rFonts w:hint="eastAsia"/>
                <w:color w:val="auto"/>
                <w:kern w:val="0"/>
                <w:sz w:val="24"/>
                <w:lang w:val="en-US" w:eastAsia="zh-CN"/>
              </w:rPr>
              <w:t xml:space="preserve">2 .合理规划设备布局，将高噪声设备置于远离敏感目标处； </w:t>
            </w:r>
          </w:p>
          <w:p>
            <w:pPr>
              <w:keepNext/>
              <w:keepLines/>
              <w:pageBreakBefore w:val="0"/>
              <w:bidi w:val="0"/>
              <w:spacing w:line="360" w:lineRule="auto"/>
              <w:ind w:firstLine="482"/>
              <w:rPr>
                <w:rFonts w:hint="eastAsia"/>
                <w:color w:val="auto"/>
                <w:kern w:val="0"/>
                <w:sz w:val="24"/>
                <w:lang w:eastAsia="zh-CN"/>
              </w:rPr>
            </w:pPr>
            <w:r>
              <w:rPr>
                <w:rFonts w:hint="eastAsia"/>
                <w:color w:val="auto"/>
                <w:kern w:val="0"/>
                <w:sz w:val="24"/>
                <w:lang w:val="en-US" w:eastAsia="zh-CN"/>
              </w:rPr>
              <w:t xml:space="preserve">3. 项目主要噪声设备采取基础减振，必要时加设隔声屏障。 </w:t>
            </w:r>
          </w:p>
          <w:p>
            <w:pPr>
              <w:keepNext/>
              <w:keepLines/>
              <w:pageBreakBefore w:val="0"/>
              <w:bidi w:val="0"/>
              <w:spacing w:line="360" w:lineRule="auto"/>
              <w:ind w:firstLine="482"/>
              <w:rPr>
                <w:rFonts w:hint="eastAsia" w:eastAsia="宋体"/>
                <w:color w:val="auto"/>
                <w:kern w:val="0"/>
                <w:sz w:val="24"/>
                <w:lang w:eastAsia="zh-CN"/>
              </w:rPr>
            </w:pPr>
            <w:r>
              <w:rPr>
                <w:rFonts w:hint="eastAsia"/>
                <w:color w:val="auto"/>
                <w:kern w:val="0"/>
                <w:sz w:val="24"/>
                <w:lang w:val="en-US" w:eastAsia="zh-CN"/>
              </w:rPr>
              <w:t>4 .</w:t>
            </w:r>
            <w:r>
              <w:rPr>
                <w:rFonts w:hint="eastAsia" w:eastAsia="宋体"/>
                <w:color w:val="auto"/>
                <w:kern w:val="0"/>
                <w:sz w:val="24"/>
                <w:lang w:val="en-US" w:eastAsia="zh-CN"/>
              </w:rPr>
              <w:t xml:space="preserve">加强管理，设备定时检修，避免因设备不正常运行产生的噪声。 </w:t>
            </w:r>
          </w:p>
          <w:p>
            <w:pPr>
              <w:keepNext/>
              <w:keepLines/>
              <w:pageBreakBefore w:val="0"/>
              <w:bidi w:val="0"/>
              <w:spacing w:line="360" w:lineRule="auto"/>
              <w:ind w:firstLine="482"/>
              <w:rPr>
                <w:rFonts w:hint="eastAsia"/>
                <w:color w:val="auto"/>
                <w:kern w:val="0"/>
                <w:sz w:val="24"/>
              </w:rPr>
            </w:pPr>
            <w:r>
              <w:rPr>
                <w:rFonts w:hint="eastAsia"/>
                <w:color w:val="auto"/>
                <w:kern w:val="0"/>
                <w:sz w:val="24"/>
                <w:lang w:val="en-US" w:eastAsia="zh-CN"/>
              </w:rPr>
              <w:t>预测结果显示，项目运营期校园噪声满足《工业企业厂界环境噪声排放标准》 （GB12348-2008）1类标准要求，即：昼间噪声值≤55dB(A)，夜间噪声值≤45dB(A)；不会对周围环境产生明显影响。</w:t>
            </w:r>
          </w:p>
          <w:p>
            <w:pPr>
              <w:keepNext/>
              <w:keepLines/>
              <w:pageBreakBefore w:val="0"/>
              <w:bidi w:val="0"/>
              <w:spacing w:line="360" w:lineRule="auto"/>
              <w:ind w:firstLine="482" w:firstLineChars="200"/>
              <w:rPr>
                <w:rFonts w:hint="eastAsia" w:hAnsi="宋体"/>
                <w:b/>
                <w:color w:val="auto"/>
                <w:sz w:val="24"/>
              </w:rPr>
            </w:pPr>
            <w:r>
              <w:rPr>
                <w:rFonts w:hint="eastAsia" w:hAnsi="宋体"/>
                <w:b/>
                <w:color w:val="auto"/>
                <w:sz w:val="24"/>
                <w:lang w:val="en-US" w:eastAsia="zh-CN"/>
              </w:rPr>
              <w:t xml:space="preserve">（4）监测计划 </w:t>
            </w:r>
          </w:p>
          <w:p>
            <w:pPr>
              <w:keepNext/>
              <w:keepLines/>
              <w:pageBreakBefore w:val="0"/>
              <w:bidi w:val="0"/>
              <w:spacing w:line="360" w:lineRule="auto"/>
              <w:ind w:firstLine="480" w:firstLineChars="200"/>
              <w:rPr>
                <w:rFonts w:hint="eastAsia" w:hAnsi="宋体"/>
                <w:b w:val="0"/>
                <w:bCs/>
                <w:color w:val="auto"/>
                <w:sz w:val="24"/>
              </w:rPr>
            </w:pPr>
            <w:r>
              <w:rPr>
                <w:rFonts w:hint="eastAsia" w:hAnsi="宋体"/>
                <w:b w:val="0"/>
                <w:bCs/>
                <w:color w:val="auto"/>
                <w:sz w:val="24"/>
                <w:lang w:val="en-US" w:eastAsia="zh-CN"/>
              </w:rPr>
              <w:t>根据《排污单位自行监测技术指南 总则》（HJ819-2017），提出项目在生产运行阶段的污染源监测计划。</w:t>
            </w:r>
          </w:p>
          <w:p>
            <w:pPr>
              <w:keepNext/>
              <w:keepLines/>
              <w:pageBreakBefore w:val="0"/>
              <w:widowControl/>
              <w:suppressLineNumbers w:val="0"/>
              <w:bidi w:val="0"/>
              <w:jc w:val="center"/>
              <w:rPr>
                <w:rFonts w:hint="default" w:ascii="Times New Roman" w:hAnsi="Times New Roman" w:cs="Times New Roman"/>
                <w:color w:val="auto"/>
                <w:sz w:val="24"/>
                <w:szCs w:val="24"/>
              </w:rPr>
            </w:pPr>
            <w:r>
              <w:rPr>
                <w:rFonts w:hint="default" w:ascii="Times New Roman" w:hAnsi="Times New Roman" w:eastAsia="宋体" w:cs="Times New Roman"/>
                <w:b/>
                <w:bCs/>
                <w:color w:val="auto"/>
                <w:kern w:val="0"/>
                <w:sz w:val="24"/>
                <w:szCs w:val="24"/>
                <w:lang w:val="en-US" w:eastAsia="zh-CN" w:bidi="ar"/>
              </w:rPr>
              <w:t>表 4-</w:t>
            </w:r>
            <w:r>
              <w:rPr>
                <w:rFonts w:hint="eastAsia" w:cs="Times New Roman"/>
                <w:b/>
                <w:bCs/>
                <w:color w:val="auto"/>
                <w:kern w:val="0"/>
                <w:sz w:val="24"/>
                <w:szCs w:val="24"/>
                <w:lang w:val="en-US" w:eastAsia="zh-CN" w:bidi="ar"/>
              </w:rPr>
              <w:t>10</w:t>
            </w:r>
            <w:r>
              <w:rPr>
                <w:rFonts w:hint="default" w:ascii="Times New Roman" w:hAnsi="Times New Roman" w:eastAsia="宋体" w:cs="Times New Roman"/>
                <w:b/>
                <w:bCs/>
                <w:color w:val="auto"/>
                <w:kern w:val="0"/>
                <w:sz w:val="24"/>
                <w:szCs w:val="24"/>
                <w:lang w:val="en-US" w:eastAsia="zh-CN" w:bidi="ar"/>
              </w:rPr>
              <w:t xml:space="preserve">  项目营运期环境监测计划一览表（噪声）</w:t>
            </w:r>
          </w:p>
          <w:tbl>
            <w:tblPr>
              <w:tblStyle w:val="22"/>
              <w:tblW w:w="7939"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130"/>
              <w:gridCol w:w="1137"/>
              <w:gridCol w:w="1088"/>
              <w:gridCol w:w="35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eastAsia="宋体"/>
                      <w:b w:val="0"/>
                      <w:bCs/>
                      <w:color w:val="auto"/>
                      <w:sz w:val="21"/>
                      <w:szCs w:val="21"/>
                      <w:vertAlign w:val="baseline"/>
                      <w:lang w:eastAsia="zh-CN"/>
                    </w:rPr>
                  </w:pPr>
                  <w:r>
                    <w:rPr>
                      <w:rFonts w:hint="eastAsia" w:hAnsi="宋体"/>
                      <w:b w:val="0"/>
                      <w:bCs/>
                      <w:color w:val="auto"/>
                      <w:sz w:val="21"/>
                      <w:szCs w:val="21"/>
                      <w:vertAlign w:val="baseline"/>
                      <w:lang w:eastAsia="zh-CN"/>
                    </w:rPr>
                    <w:t>监测项目</w:t>
                  </w:r>
                </w:p>
              </w:tc>
              <w:tc>
                <w:tcPr>
                  <w:tcW w:w="1130"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eastAsia="宋体"/>
                      <w:b w:val="0"/>
                      <w:bCs/>
                      <w:color w:val="auto"/>
                      <w:sz w:val="21"/>
                      <w:szCs w:val="21"/>
                      <w:vertAlign w:val="baseline"/>
                      <w:lang w:eastAsia="zh-CN"/>
                    </w:rPr>
                  </w:pPr>
                  <w:r>
                    <w:rPr>
                      <w:rFonts w:hint="eastAsia" w:hAnsi="宋体"/>
                      <w:b w:val="0"/>
                      <w:bCs/>
                      <w:color w:val="auto"/>
                      <w:sz w:val="21"/>
                      <w:szCs w:val="21"/>
                      <w:vertAlign w:val="baseline"/>
                      <w:lang w:eastAsia="zh-CN"/>
                    </w:rPr>
                    <w:t>监测位置</w:t>
                  </w:r>
                </w:p>
              </w:tc>
              <w:tc>
                <w:tcPr>
                  <w:tcW w:w="113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eastAsia="宋体"/>
                      <w:b w:val="0"/>
                      <w:bCs/>
                      <w:color w:val="auto"/>
                      <w:sz w:val="21"/>
                      <w:szCs w:val="21"/>
                      <w:vertAlign w:val="baseline"/>
                      <w:lang w:eastAsia="zh-CN"/>
                    </w:rPr>
                  </w:pPr>
                  <w:r>
                    <w:rPr>
                      <w:rFonts w:hint="eastAsia" w:hAnsi="宋体"/>
                      <w:b w:val="0"/>
                      <w:bCs/>
                      <w:color w:val="auto"/>
                      <w:sz w:val="21"/>
                      <w:szCs w:val="21"/>
                      <w:vertAlign w:val="baseline"/>
                      <w:lang w:eastAsia="zh-CN"/>
                    </w:rPr>
                    <w:t>监测指标</w:t>
                  </w:r>
                </w:p>
              </w:tc>
              <w:tc>
                <w:tcPr>
                  <w:tcW w:w="1088"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eastAsia="宋体"/>
                      <w:b w:val="0"/>
                      <w:bCs/>
                      <w:color w:val="auto"/>
                      <w:sz w:val="21"/>
                      <w:szCs w:val="21"/>
                      <w:vertAlign w:val="baseline"/>
                      <w:lang w:eastAsia="zh-CN"/>
                    </w:rPr>
                  </w:pPr>
                  <w:r>
                    <w:rPr>
                      <w:rFonts w:hint="eastAsia" w:hAnsi="宋体"/>
                      <w:b w:val="0"/>
                      <w:bCs/>
                      <w:color w:val="auto"/>
                      <w:sz w:val="21"/>
                      <w:szCs w:val="21"/>
                      <w:vertAlign w:val="baseline"/>
                      <w:lang w:eastAsia="zh-CN"/>
                    </w:rPr>
                    <w:t>监测频次</w:t>
                  </w:r>
                </w:p>
              </w:tc>
              <w:tc>
                <w:tcPr>
                  <w:tcW w:w="352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eastAsia="宋体"/>
                      <w:b w:val="0"/>
                      <w:bCs/>
                      <w:color w:val="auto"/>
                      <w:sz w:val="21"/>
                      <w:szCs w:val="21"/>
                      <w:vertAlign w:val="baseline"/>
                      <w:lang w:eastAsia="zh-CN"/>
                    </w:rPr>
                  </w:pPr>
                  <w:r>
                    <w:rPr>
                      <w:rFonts w:hint="eastAsia" w:hAnsi="宋体"/>
                      <w:b w:val="0"/>
                      <w:bCs/>
                      <w:color w:val="auto"/>
                      <w:sz w:val="21"/>
                      <w:szCs w:val="21"/>
                      <w:vertAlign w:val="baseline"/>
                      <w:lang w:eastAsia="zh-CN"/>
                    </w:rPr>
                    <w:t>执行标准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5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b w:val="0"/>
                      <w:bCs/>
                      <w:color w:val="auto"/>
                      <w:sz w:val="21"/>
                      <w:szCs w:val="21"/>
                      <w:vertAlign w:val="baseline"/>
                    </w:rPr>
                  </w:pPr>
                  <w:r>
                    <w:rPr>
                      <w:rFonts w:hint="eastAsia" w:hAnsi="宋体"/>
                      <w:b w:val="0"/>
                      <w:bCs/>
                      <w:color w:val="auto"/>
                      <w:sz w:val="21"/>
                      <w:szCs w:val="21"/>
                      <w:vertAlign w:val="baseline"/>
                      <w:lang w:val="en-US" w:eastAsia="zh-CN"/>
                    </w:rPr>
                    <w:t>厂界噪声</w:t>
                  </w:r>
                </w:p>
              </w:tc>
              <w:tc>
                <w:tcPr>
                  <w:tcW w:w="1130"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b w:val="0"/>
                      <w:bCs/>
                      <w:color w:val="auto"/>
                      <w:sz w:val="21"/>
                      <w:szCs w:val="21"/>
                      <w:vertAlign w:val="baseline"/>
                    </w:rPr>
                  </w:pPr>
                  <w:r>
                    <w:rPr>
                      <w:rFonts w:hint="eastAsia" w:hAnsi="宋体"/>
                      <w:b w:val="0"/>
                      <w:bCs/>
                      <w:color w:val="auto"/>
                      <w:sz w:val="21"/>
                      <w:szCs w:val="21"/>
                      <w:vertAlign w:val="baseline"/>
                      <w:lang w:val="en-US" w:eastAsia="zh-CN"/>
                    </w:rPr>
                    <w:t>厂界边界</w:t>
                  </w:r>
                </w:p>
              </w:tc>
              <w:tc>
                <w:tcPr>
                  <w:tcW w:w="113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b w:val="0"/>
                      <w:bCs/>
                      <w:color w:val="auto"/>
                      <w:sz w:val="21"/>
                      <w:szCs w:val="21"/>
                      <w:vertAlign w:val="baseline"/>
                    </w:rPr>
                  </w:pPr>
                  <w:r>
                    <w:rPr>
                      <w:rFonts w:hint="eastAsia" w:hAnsi="宋体"/>
                      <w:b w:val="0"/>
                      <w:bCs/>
                      <w:color w:val="auto"/>
                      <w:sz w:val="21"/>
                      <w:szCs w:val="21"/>
                      <w:vertAlign w:val="baseline"/>
                      <w:lang w:val="en-US" w:eastAsia="zh-CN"/>
                    </w:rPr>
                    <w:t>Leq（A）</w:t>
                  </w:r>
                </w:p>
              </w:tc>
              <w:tc>
                <w:tcPr>
                  <w:tcW w:w="1088"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b w:val="0"/>
                      <w:bCs/>
                      <w:color w:val="auto"/>
                      <w:sz w:val="21"/>
                      <w:szCs w:val="21"/>
                      <w:vertAlign w:val="baseline"/>
                    </w:rPr>
                  </w:pPr>
                  <w:r>
                    <w:rPr>
                      <w:rFonts w:hint="eastAsia" w:hAnsi="宋体"/>
                      <w:b w:val="0"/>
                      <w:bCs/>
                      <w:color w:val="auto"/>
                      <w:sz w:val="21"/>
                      <w:szCs w:val="21"/>
                      <w:vertAlign w:val="baseline"/>
                      <w:lang w:val="en-US" w:eastAsia="zh-CN"/>
                    </w:rPr>
                    <w:t>1次/季度</w:t>
                  </w:r>
                </w:p>
              </w:tc>
              <w:tc>
                <w:tcPr>
                  <w:tcW w:w="3527" w:type="dxa"/>
                  <w:tcBorders>
                    <w:tl2br w:val="nil"/>
                    <w:tr2bl w:val="nil"/>
                  </w:tcBorders>
                  <w:noWrap w:val="0"/>
                  <w:vAlign w:val="center"/>
                </w:tcPr>
                <w:p>
                  <w:pPr>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hAnsi="宋体"/>
                      <w:b w:val="0"/>
                      <w:bCs/>
                      <w:color w:val="auto"/>
                      <w:sz w:val="21"/>
                      <w:szCs w:val="21"/>
                      <w:vertAlign w:val="baseline"/>
                    </w:rPr>
                  </w:pPr>
                  <w:r>
                    <w:rPr>
                      <w:rFonts w:hint="eastAsia" w:hAnsi="宋体"/>
                      <w:b w:val="0"/>
                      <w:bCs/>
                      <w:color w:val="auto"/>
                      <w:sz w:val="21"/>
                      <w:szCs w:val="21"/>
                      <w:vertAlign w:val="baseline"/>
                      <w:lang w:val="en-US" w:eastAsia="zh-CN"/>
                    </w:rPr>
                    <w:t>《工业企业厂界环境噪声排放标准》 （GB12348-2008）标准中的1类标准</w:t>
                  </w:r>
                </w:p>
              </w:tc>
            </w:tr>
          </w:tbl>
          <w:p>
            <w:pPr>
              <w:keepNext/>
              <w:keepLines/>
              <w:pageBreakBefore w:val="0"/>
              <w:bidi w:val="0"/>
              <w:spacing w:line="360" w:lineRule="auto"/>
              <w:ind w:firstLine="241" w:firstLineChars="100"/>
              <w:rPr>
                <w:rFonts w:hAnsi="宋体"/>
                <w:b/>
                <w:color w:val="auto"/>
                <w:sz w:val="24"/>
              </w:rPr>
            </w:pPr>
            <w:r>
              <w:rPr>
                <w:rFonts w:hint="eastAsia" w:hAnsi="宋体"/>
                <w:b/>
                <w:color w:val="auto"/>
                <w:sz w:val="24"/>
                <w:lang w:val="en-US" w:eastAsia="zh-CN"/>
              </w:rPr>
              <w:t>四、</w:t>
            </w:r>
            <w:r>
              <w:rPr>
                <w:rFonts w:hint="eastAsia" w:ascii="Times New Roman" w:hAnsi="Times New Roman" w:eastAsia="宋体" w:cs="Times New Roman"/>
                <w:b/>
                <w:bCs/>
                <w:color w:val="auto"/>
                <w:kern w:val="0"/>
                <w:sz w:val="24"/>
                <w:lang w:val="en-US" w:eastAsia="zh-CN"/>
              </w:rPr>
              <w:t>运营期</w:t>
            </w:r>
            <w:r>
              <w:rPr>
                <w:rFonts w:hint="eastAsia" w:hAnsi="宋体"/>
                <w:b/>
                <w:color w:val="auto"/>
                <w:sz w:val="24"/>
              </w:rPr>
              <w:t>固体废物</w:t>
            </w:r>
            <w:r>
              <w:rPr>
                <w:rFonts w:hint="eastAsia" w:ascii="Times New Roman" w:hAnsi="Times New Roman" w:eastAsia="宋体" w:cs="Times New Roman"/>
                <w:b/>
                <w:bCs/>
                <w:color w:val="auto"/>
                <w:kern w:val="0"/>
                <w:sz w:val="24"/>
                <w:lang w:val="en-US" w:eastAsia="zh-CN"/>
              </w:rPr>
              <w:t xml:space="preserve">环境影响和保护措施 </w:t>
            </w:r>
          </w:p>
          <w:p>
            <w:pPr>
              <w:keepNext/>
              <w:keepLines/>
              <w:pageBreakBefore w:val="0"/>
              <w:bidi w:val="0"/>
              <w:spacing w:line="360" w:lineRule="auto"/>
              <w:ind w:firstLine="482" w:firstLineChars="200"/>
              <w:rPr>
                <w:rFonts w:hint="default" w:ascii="Times New Roman" w:hAnsi="Times New Roman" w:eastAsia="宋体" w:cs="Times New Roman"/>
                <w:color w:val="auto"/>
                <w:sz w:val="24"/>
                <w:lang w:val="en-US"/>
              </w:rPr>
            </w:pPr>
            <w:r>
              <w:rPr>
                <w:rFonts w:hint="eastAsia" w:ascii="Times New Roman" w:hAnsi="Times New Roman" w:eastAsia="宋体" w:cs="Times New Roman"/>
                <w:b/>
                <w:bCs/>
                <w:color w:val="auto"/>
                <w:sz w:val="24"/>
                <w:lang w:val="en-US" w:eastAsia="zh-CN"/>
              </w:rPr>
              <w:t>（1）</w:t>
            </w:r>
            <w:r>
              <w:rPr>
                <w:rFonts w:hint="eastAsia" w:cs="Times New Roman"/>
                <w:b/>
                <w:bCs/>
                <w:color w:val="auto"/>
                <w:sz w:val="24"/>
                <w:lang w:val="en-US" w:eastAsia="zh-CN"/>
              </w:rPr>
              <w:t>固体废弃物种类</w:t>
            </w:r>
          </w:p>
          <w:p>
            <w:pPr>
              <w:keepNext/>
              <w:keepLines/>
              <w:pageBreakBefore w:val="0"/>
              <w:bidi w:val="0"/>
              <w:spacing w:line="360" w:lineRule="auto"/>
              <w:ind w:firstLine="480" w:firstLineChars="200"/>
              <w:rPr>
                <w:rFonts w:hint="eastAsia"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 xml:space="preserve">本项目运行产生的固体废物主要为生活垃圾和实验室废弃物。 </w:t>
            </w:r>
          </w:p>
          <w:p>
            <w:pPr>
              <w:keepNext/>
              <w:keepLines/>
              <w:pageBreakBefore w:val="0"/>
              <w:bidi w:val="0"/>
              <w:spacing w:line="360" w:lineRule="auto"/>
              <w:ind w:firstLine="480" w:firstLineChars="200"/>
              <w:rPr>
                <w:rFonts w:hint="eastAsia"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 xml:space="preserve">①生活垃圾 </w:t>
            </w:r>
          </w:p>
          <w:p>
            <w:pPr>
              <w:keepNext/>
              <w:keepLines/>
              <w:pageBreakBefore w:val="0"/>
              <w:bidi w:val="0"/>
              <w:spacing w:line="360" w:lineRule="auto"/>
              <w:ind w:firstLine="480" w:firstLineChars="200"/>
              <w:rPr>
                <w:rFonts w:hint="eastAsia"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项目共有师生约</w:t>
            </w:r>
            <w:r>
              <w:rPr>
                <w:rFonts w:hint="eastAsia" w:cs="Times New Roman"/>
                <w:color w:val="auto"/>
                <w:sz w:val="24"/>
                <w:lang w:val="en-US" w:eastAsia="zh-CN"/>
              </w:rPr>
              <w:t>3078</w:t>
            </w:r>
            <w:r>
              <w:rPr>
                <w:rFonts w:hint="default" w:ascii="Times New Roman" w:hAnsi="Times New Roman" w:eastAsia="宋体" w:cs="Times New Roman"/>
                <w:color w:val="auto"/>
                <w:sz w:val="24"/>
                <w:lang w:val="en-US" w:eastAsia="zh-CN"/>
              </w:rPr>
              <w:t>人，排放垃圾量按0.</w:t>
            </w:r>
            <w:r>
              <w:rPr>
                <w:rFonts w:hint="eastAsia" w:cs="Times New Roman"/>
                <w:color w:val="auto"/>
                <w:sz w:val="24"/>
                <w:lang w:val="en-US" w:eastAsia="zh-CN"/>
              </w:rPr>
              <w:t>5</w:t>
            </w:r>
            <w:r>
              <w:rPr>
                <w:rFonts w:hint="default" w:ascii="Times New Roman" w:hAnsi="Times New Roman" w:eastAsia="宋体" w:cs="Times New Roman"/>
                <w:color w:val="auto"/>
                <w:sz w:val="24"/>
                <w:lang w:val="en-US" w:eastAsia="zh-CN"/>
              </w:rPr>
              <w:t>kg/人·d 计，学</w:t>
            </w:r>
            <w:r>
              <w:rPr>
                <w:rFonts w:hint="eastAsia" w:cs="Times New Roman"/>
                <w:color w:val="auto"/>
                <w:sz w:val="24"/>
                <w:lang w:val="en-US" w:eastAsia="zh-CN"/>
              </w:rPr>
              <w:t>校</w:t>
            </w:r>
            <w:r>
              <w:rPr>
                <w:rFonts w:hint="default" w:ascii="Times New Roman" w:hAnsi="Times New Roman" w:eastAsia="宋体" w:cs="Times New Roman"/>
                <w:color w:val="auto"/>
                <w:sz w:val="24"/>
                <w:lang w:val="en-US" w:eastAsia="zh-CN"/>
              </w:rPr>
              <w:t>全年在校时间按</w:t>
            </w:r>
            <w:r>
              <w:rPr>
                <w:rFonts w:hint="eastAsia" w:ascii="Times New Roman" w:hAnsi="Times New Roman" w:eastAsia="宋体" w:cs="Times New Roman"/>
                <w:color w:val="auto"/>
                <w:sz w:val="24"/>
                <w:lang w:val="en-US" w:eastAsia="zh-CN"/>
              </w:rPr>
              <w:t>2</w:t>
            </w:r>
            <w:r>
              <w:rPr>
                <w:rFonts w:hint="eastAsia" w:cs="Times New Roman"/>
                <w:color w:val="auto"/>
                <w:sz w:val="24"/>
                <w:lang w:val="en-US" w:eastAsia="zh-CN"/>
              </w:rPr>
              <w:t>57</w:t>
            </w:r>
            <w:r>
              <w:rPr>
                <w:rFonts w:hint="default" w:ascii="Times New Roman" w:hAnsi="Times New Roman" w:eastAsia="宋体" w:cs="Times New Roman"/>
                <w:color w:val="auto"/>
                <w:sz w:val="24"/>
                <w:lang w:val="en-US" w:eastAsia="zh-CN"/>
              </w:rPr>
              <w:t>天计算</w:t>
            </w:r>
            <w:r>
              <w:rPr>
                <w:rFonts w:hint="eastAsia" w:cs="Times New Roman"/>
                <w:color w:val="auto"/>
                <w:sz w:val="24"/>
                <w:lang w:val="en-US" w:eastAsia="zh-CN"/>
              </w:rPr>
              <w:t>，</w:t>
            </w:r>
            <w:r>
              <w:rPr>
                <w:rFonts w:hint="default" w:ascii="Times New Roman" w:hAnsi="Times New Roman" w:eastAsia="宋体" w:cs="Times New Roman"/>
                <w:color w:val="auto"/>
                <w:sz w:val="24"/>
                <w:lang w:val="en-US" w:eastAsia="zh-CN"/>
              </w:rPr>
              <w:t>则项目生活垃圾产生量约</w:t>
            </w:r>
            <w:r>
              <w:rPr>
                <w:rFonts w:hint="eastAsia" w:cs="Times New Roman"/>
                <w:color w:val="auto"/>
                <w:sz w:val="24"/>
                <w:lang w:val="en-US" w:eastAsia="zh-CN"/>
              </w:rPr>
              <w:t>396</w:t>
            </w:r>
            <w:r>
              <w:rPr>
                <w:rFonts w:hint="default" w:ascii="Times New Roman" w:hAnsi="Times New Roman" w:eastAsia="宋体" w:cs="Times New Roman"/>
                <w:color w:val="auto"/>
                <w:sz w:val="24"/>
                <w:lang w:val="en-US" w:eastAsia="zh-CN"/>
              </w:rPr>
              <w:t xml:space="preserve">t/a。生活垃圾设垃圾箱、桶收集后全部由环卫部门统一清理，做到日产日清。 </w:t>
            </w:r>
          </w:p>
          <w:p>
            <w:pPr>
              <w:keepNext/>
              <w:keepLines/>
              <w:pageBreakBefore w:val="0"/>
              <w:bidi w:val="0"/>
              <w:spacing w:line="360" w:lineRule="auto"/>
              <w:ind w:firstLine="480" w:firstLineChars="200"/>
              <w:rPr>
                <w:rFonts w:hint="eastAsia"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 xml:space="preserve">②实验室废弃物 </w:t>
            </w:r>
          </w:p>
          <w:p>
            <w:pPr>
              <w:keepNext/>
              <w:keepLines/>
              <w:pageBreakBefore w:val="0"/>
              <w:bidi w:val="0"/>
              <w:spacing w:line="360" w:lineRule="auto"/>
              <w:ind w:firstLine="480" w:firstLineChars="200"/>
              <w:rPr>
                <w:rFonts w:hint="eastAsia"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本项目学校建成后主要为</w:t>
            </w:r>
            <w:r>
              <w:rPr>
                <w:rFonts w:hint="eastAsia" w:ascii="Times New Roman" w:hAnsi="Times New Roman" w:eastAsia="宋体" w:cs="Times New Roman"/>
                <w:color w:val="auto"/>
                <w:sz w:val="24"/>
                <w:lang w:val="en-US" w:eastAsia="zh-CN"/>
              </w:rPr>
              <w:t>高</w:t>
            </w:r>
            <w:r>
              <w:rPr>
                <w:rFonts w:hint="default" w:ascii="Times New Roman" w:hAnsi="Times New Roman" w:eastAsia="宋体" w:cs="Times New Roman"/>
                <w:color w:val="auto"/>
                <w:sz w:val="24"/>
                <w:lang w:val="en-US" w:eastAsia="zh-CN"/>
              </w:rPr>
              <w:t xml:space="preserve">级中学教育。实验课涉及物理、化学、生物实验，固体废物主要产生于生物和化学实验室。 </w:t>
            </w:r>
          </w:p>
          <w:p>
            <w:pPr>
              <w:keepNext/>
              <w:keepLines/>
              <w:pageBreakBefore w:val="0"/>
              <w:bidi w:val="0"/>
              <w:spacing w:line="360" w:lineRule="auto"/>
              <w:ind w:firstLine="482" w:firstLineChars="200"/>
              <w:rPr>
                <w:rFonts w:hint="default" w:cs="Times New Roman"/>
                <w:color w:val="auto"/>
                <w:sz w:val="24"/>
                <w:lang w:val="en-US" w:eastAsia="zh-CN"/>
              </w:rPr>
            </w:pPr>
            <w:r>
              <w:rPr>
                <w:rFonts w:hint="eastAsia" w:cs="Times New Roman"/>
                <w:b/>
                <w:bCs/>
                <w:color w:val="auto"/>
                <w:sz w:val="24"/>
                <w:lang w:val="en-US" w:eastAsia="zh-CN"/>
              </w:rPr>
              <w:t>一般固废:</w:t>
            </w:r>
            <w:r>
              <w:rPr>
                <w:rFonts w:hint="eastAsia" w:cs="Times New Roman"/>
                <w:color w:val="auto"/>
                <w:sz w:val="24"/>
                <w:lang w:val="en-US" w:eastAsia="zh-CN"/>
              </w:rPr>
              <w:t>本项目物理、化学及生物实验过程均使用玻璃器皿等容器，实验操作过程会产生一定的破损玻璃器皿及废纸等，类比同类项目，预计本项目运营期产生各种破损的玻璃器皿0.005t/a，清洗后可按生活垃圾处理；生物实验主要采用高倍显微镜观察细胞等，实验过程中产生少量的植物碎片及玻璃片（载玻片、盖玻片），年产废弃物约0.01t/a，作为一般废物混入生活垃圾处理；本项目所有实验试剂及设备外包装拆除过程会产生一定的废弃外包装品，产生量约0.04t/a，废弃外包装定期外售给废弃资源回收单位。</w:t>
            </w:r>
          </w:p>
          <w:p>
            <w:pPr>
              <w:keepNext/>
              <w:keepLines/>
              <w:pageBreakBefore w:val="0"/>
              <w:bidi w:val="0"/>
              <w:spacing w:line="360" w:lineRule="auto"/>
              <w:ind w:firstLine="482" w:firstLineChars="200"/>
              <w:rPr>
                <w:rFonts w:hint="default" w:cs="Times New Roman"/>
                <w:b/>
                <w:bCs/>
                <w:color w:val="auto"/>
                <w:sz w:val="24"/>
                <w:lang w:val="en-US" w:eastAsia="zh-CN"/>
              </w:rPr>
            </w:pPr>
            <w:r>
              <w:rPr>
                <w:rFonts w:hint="eastAsia" w:cs="Times New Roman"/>
                <w:b/>
                <w:bCs/>
                <w:color w:val="auto"/>
                <w:sz w:val="24"/>
                <w:lang w:val="en-US" w:eastAsia="zh-CN"/>
              </w:rPr>
              <w:t>危险固废：</w:t>
            </w:r>
          </w:p>
          <w:p>
            <w:pPr>
              <w:keepNext/>
              <w:keepLines/>
              <w:pageBreakBefore w:val="0"/>
              <w:bidi w:val="0"/>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化学实验室产生的</w:t>
            </w:r>
            <w:r>
              <w:rPr>
                <w:rFonts w:hint="eastAsia" w:cs="Times New Roman"/>
                <w:color w:val="auto"/>
                <w:sz w:val="24"/>
                <w:lang w:val="en-US" w:eastAsia="zh-CN"/>
              </w:rPr>
              <w:t>危险</w:t>
            </w:r>
            <w:r>
              <w:rPr>
                <w:rFonts w:hint="default" w:ascii="Times New Roman" w:hAnsi="Times New Roman" w:eastAsia="宋体" w:cs="Times New Roman"/>
                <w:color w:val="auto"/>
                <w:sz w:val="24"/>
                <w:lang w:val="en-US" w:eastAsia="zh-CN"/>
              </w:rPr>
              <w:t>废弃物主要为废液</w:t>
            </w:r>
            <w:r>
              <w:rPr>
                <w:rFonts w:hint="eastAsia" w:cs="Times New Roman"/>
                <w:color w:val="auto"/>
                <w:sz w:val="24"/>
                <w:lang w:val="en-US" w:eastAsia="zh-CN"/>
              </w:rPr>
              <w:t>和</w:t>
            </w:r>
            <w:r>
              <w:rPr>
                <w:rFonts w:hint="default" w:ascii="Times New Roman" w:hAnsi="Times New Roman" w:eastAsia="宋体" w:cs="Times New Roman"/>
                <w:color w:val="auto"/>
                <w:sz w:val="24"/>
                <w:lang w:val="en-US" w:eastAsia="zh-CN"/>
              </w:rPr>
              <w:t>废试剂瓶</w:t>
            </w:r>
            <w:r>
              <w:rPr>
                <w:rFonts w:hint="eastAsia" w:cs="Times New Roman"/>
                <w:color w:val="auto"/>
                <w:sz w:val="24"/>
                <w:lang w:val="en-US" w:eastAsia="zh-CN"/>
              </w:rPr>
              <w:t>，</w:t>
            </w:r>
            <w:r>
              <w:rPr>
                <w:rFonts w:hint="default" w:ascii="Times New Roman" w:hAnsi="Times New Roman" w:eastAsia="宋体" w:cs="Times New Roman"/>
                <w:color w:val="auto"/>
                <w:sz w:val="24"/>
                <w:lang w:val="en-US" w:eastAsia="zh-CN"/>
              </w:rPr>
              <w:t>实验室废液、废试剂瓶等根据《国家危险废物名录》（2021版），属于危险废物，其中实验室废液废物类别为</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HW49其他废物</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，废物代码：900-047-49，年产生量约为0.</w:t>
            </w:r>
            <w:r>
              <w:rPr>
                <w:rFonts w:hint="eastAsia" w:cs="Times New Roman"/>
                <w:color w:val="auto"/>
                <w:sz w:val="24"/>
                <w:lang w:val="en-US" w:eastAsia="zh-CN"/>
              </w:rPr>
              <w:t>02</w:t>
            </w:r>
            <w:r>
              <w:rPr>
                <w:rFonts w:hint="default" w:ascii="Times New Roman" w:hAnsi="Times New Roman" w:eastAsia="宋体" w:cs="Times New Roman"/>
                <w:color w:val="auto"/>
                <w:sz w:val="24"/>
                <w:lang w:val="en-US" w:eastAsia="zh-CN"/>
              </w:rPr>
              <w:t>t/a；实验室废试剂瓶废物类别为</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HW49其他废物</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，废物代码：900-047-49，年产生量约为0.</w:t>
            </w:r>
            <w:r>
              <w:rPr>
                <w:rFonts w:hint="eastAsia" w:cs="Times New Roman"/>
                <w:color w:val="auto"/>
                <w:sz w:val="24"/>
                <w:lang w:val="en-US" w:eastAsia="zh-CN"/>
              </w:rPr>
              <w:t>01</w:t>
            </w:r>
            <w:r>
              <w:rPr>
                <w:rFonts w:hint="default" w:ascii="Times New Roman" w:hAnsi="Times New Roman" w:eastAsia="宋体" w:cs="Times New Roman"/>
                <w:color w:val="auto"/>
                <w:sz w:val="24"/>
                <w:lang w:val="en-US" w:eastAsia="zh-CN"/>
              </w:rPr>
              <w:t>t/a，收集后交有资质的单位处置。</w:t>
            </w:r>
          </w:p>
          <w:p>
            <w:pPr>
              <w:keepNext/>
              <w:keepLines/>
              <w:pageBreakBefore w:val="0"/>
              <w:bidi w:val="0"/>
              <w:spacing w:line="240" w:lineRule="auto"/>
              <w:ind w:firstLine="482" w:firstLineChars="200"/>
              <w:jc w:val="center"/>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表</w:t>
            </w:r>
            <w:r>
              <w:rPr>
                <w:rFonts w:hint="default" w:ascii="Times New Roman" w:hAnsi="Times New Roman" w:cs="Times New Roman"/>
                <w:b/>
                <w:bCs/>
                <w:color w:val="auto"/>
                <w:sz w:val="24"/>
                <w:szCs w:val="24"/>
                <w:lang w:val="en-US" w:eastAsia="zh-CN"/>
              </w:rPr>
              <w:t>4</w:t>
            </w:r>
            <w:r>
              <w:rPr>
                <w:rFonts w:hint="default" w:ascii="Times New Roman" w:hAnsi="Times New Roman" w:cs="Times New Roman"/>
                <w:b/>
                <w:bCs/>
                <w:color w:val="auto"/>
                <w:sz w:val="24"/>
                <w:szCs w:val="24"/>
              </w:rPr>
              <w:t>-</w:t>
            </w:r>
            <w:r>
              <w:rPr>
                <w:rFonts w:hint="default" w:ascii="Times New Roman" w:hAnsi="Times New Roman" w:cs="Times New Roman"/>
                <w:b/>
                <w:bCs/>
                <w:color w:val="auto"/>
                <w:sz w:val="24"/>
                <w:szCs w:val="24"/>
                <w:lang w:val="en-US" w:eastAsia="zh-CN"/>
              </w:rPr>
              <w:t>1</w:t>
            </w:r>
            <w:r>
              <w:rPr>
                <w:rFonts w:hint="eastAsia" w:cs="Times New Roman"/>
                <w:b/>
                <w:bCs/>
                <w:color w:val="auto"/>
                <w:sz w:val="24"/>
                <w:szCs w:val="24"/>
                <w:lang w:val="en-US" w:eastAsia="zh-CN"/>
              </w:rPr>
              <w:t>1</w:t>
            </w:r>
            <w:r>
              <w:rPr>
                <w:rFonts w:hint="default" w:ascii="Times New Roman" w:hAnsi="Times New Roman" w:cs="Times New Roman"/>
                <w:b/>
                <w:bCs/>
                <w:color w:val="auto"/>
                <w:sz w:val="24"/>
                <w:szCs w:val="24"/>
                <w:lang w:val="en-US" w:eastAsia="zh-CN"/>
              </w:rPr>
              <w:t xml:space="preserve"> </w:t>
            </w:r>
            <w:r>
              <w:rPr>
                <w:rFonts w:hint="default" w:ascii="Times New Roman" w:hAnsi="Times New Roman" w:cs="Times New Roman"/>
                <w:b/>
                <w:bCs/>
                <w:color w:val="auto"/>
                <w:sz w:val="24"/>
                <w:szCs w:val="24"/>
              </w:rPr>
              <w:t>项目运营期固废产生量及类型</w:t>
            </w:r>
          </w:p>
          <w:tbl>
            <w:tblPr>
              <w:tblStyle w:val="21"/>
              <w:tblW w:w="499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6"/>
              <w:gridCol w:w="388"/>
              <w:gridCol w:w="500"/>
              <w:gridCol w:w="514"/>
              <w:gridCol w:w="614"/>
              <w:gridCol w:w="747"/>
              <w:gridCol w:w="1303"/>
              <w:gridCol w:w="785"/>
              <w:gridCol w:w="750"/>
              <w:gridCol w:w="1276"/>
              <w:gridCol w:w="6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tcBorders>
                    <w:tl2br w:val="nil"/>
                    <w:tr2bl w:val="nil"/>
                  </w:tcBorders>
                  <w:noWrap w:val="0"/>
                  <w:vAlign w:val="center"/>
                </w:tcPr>
                <w:p>
                  <w:pPr>
                    <w:pStyle w:val="28"/>
                    <w:bidi w:val="0"/>
                    <w:ind w:left="0" w:leftChars="0" w:right="0" w:rightChars="0" w:firstLine="0" w:firstLineChars="0"/>
                    <w:jc w:val="center"/>
                    <w:rPr>
                      <w:b/>
                      <w:bCs/>
                      <w:color w:val="auto"/>
                      <w:lang w:val="en-US" w:eastAsia="zh-CN"/>
                    </w:rPr>
                  </w:pPr>
                  <w:r>
                    <w:rPr>
                      <w:rFonts w:hint="eastAsia"/>
                      <w:b/>
                      <w:bCs/>
                      <w:color w:val="auto"/>
                      <w:lang w:val="en-US" w:eastAsia="zh-CN"/>
                    </w:rPr>
                    <w:t>序号</w:t>
                  </w:r>
                </w:p>
              </w:tc>
              <w:tc>
                <w:tcPr>
                  <w:tcW w:w="245" w:type="pct"/>
                  <w:tcBorders>
                    <w:tl2br w:val="nil"/>
                    <w:tr2bl w:val="nil"/>
                  </w:tcBorders>
                  <w:noWrap w:val="0"/>
                  <w:vAlign w:val="center"/>
                </w:tcPr>
                <w:p>
                  <w:pPr>
                    <w:pStyle w:val="28"/>
                    <w:bidi w:val="0"/>
                    <w:ind w:left="0" w:leftChars="0" w:right="0" w:rightChars="0" w:firstLine="0" w:firstLineChars="0"/>
                    <w:jc w:val="center"/>
                    <w:rPr>
                      <w:rFonts w:hint="eastAsia"/>
                      <w:b/>
                      <w:bCs/>
                      <w:color w:val="auto"/>
                      <w:lang w:val="en-US" w:eastAsia="zh-CN"/>
                    </w:rPr>
                  </w:pPr>
                  <w:r>
                    <w:rPr>
                      <w:rFonts w:hint="eastAsia"/>
                      <w:b/>
                      <w:bCs/>
                      <w:color w:val="auto"/>
                      <w:lang w:val="en-US" w:eastAsia="zh-CN"/>
                    </w:rPr>
                    <w:t>固废</w:t>
                  </w:r>
                </w:p>
                <w:p>
                  <w:pPr>
                    <w:pStyle w:val="28"/>
                    <w:bidi w:val="0"/>
                    <w:ind w:left="0" w:leftChars="0" w:right="0" w:rightChars="0" w:firstLine="0" w:firstLineChars="0"/>
                    <w:jc w:val="center"/>
                    <w:rPr>
                      <w:b/>
                      <w:bCs/>
                      <w:color w:val="auto"/>
                      <w:lang w:val="en-US" w:eastAsia="zh-CN"/>
                    </w:rPr>
                  </w:pPr>
                  <w:r>
                    <w:rPr>
                      <w:rFonts w:hint="eastAsia"/>
                      <w:b/>
                      <w:bCs/>
                      <w:color w:val="auto"/>
                      <w:lang w:val="en-US" w:eastAsia="zh-CN"/>
                    </w:rPr>
                    <w:t>名称</w:t>
                  </w:r>
                </w:p>
              </w:tc>
              <w:tc>
                <w:tcPr>
                  <w:tcW w:w="316" w:type="pct"/>
                  <w:tcBorders>
                    <w:tl2br w:val="nil"/>
                    <w:tr2bl w:val="nil"/>
                  </w:tcBorders>
                  <w:noWrap w:val="0"/>
                  <w:vAlign w:val="center"/>
                </w:tcPr>
                <w:p>
                  <w:pPr>
                    <w:pStyle w:val="28"/>
                    <w:bidi w:val="0"/>
                    <w:ind w:left="0" w:leftChars="0" w:right="0" w:rightChars="0" w:firstLine="0" w:firstLineChars="0"/>
                    <w:jc w:val="center"/>
                    <w:rPr>
                      <w:b/>
                      <w:bCs/>
                      <w:color w:val="auto"/>
                    </w:rPr>
                  </w:pPr>
                  <w:r>
                    <w:rPr>
                      <w:b/>
                      <w:bCs/>
                      <w:color w:val="auto"/>
                      <w:lang w:val="en-US" w:eastAsia="zh-CN"/>
                    </w:rPr>
                    <w:t>固</w:t>
                  </w:r>
                  <w:r>
                    <w:rPr>
                      <w:rFonts w:hint="default"/>
                      <w:b/>
                      <w:bCs/>
                      <w:color w:val="auto"/>
                      <w:lang w:val="en-US" w:eastAsia="zh-CN"/>
                    </w:rPr>
                    <w:t>废</w:t>
                  </w:r>
                </w:p>
                <w:p>
                  <w:pPr>
                    <w:pStyle w:val="28"/>
                    <w:bidi w:val="0"/>
                    <w:ind w:left="0" w:leftChars="0" w:right="0" w:rightChars="0" w:firstLine="0" w:firstLineChars="0"/>
                    <w:jc w:val="center"/>
                    <w:rPr>
                      <w:b/>
                      <w:bCs/>
                      <w:color w:val="auto"/>
                      <w:lang w:val="en-US" w:eastAsia="zh-CN"/>
                    </w:rPr>
                  </w:pPr>
                  <w:r>
                    <w:rPr>
                      <w:rFonts w:hint="default"/>
                      <w:b/>
                      <w:bCs/>
                      <w:color w:val="auto"/>
                      <w:lang w:val="en-US" w:eastAsia="zh-CN"/>
                    </w:rPr>
                    <w:t>属性</w:t>
                  </w:r>
                </w:p>
              </w:tc>
              <w:tc>
                <w:tcPr>
                  <w:tcW w:w="324" w:type="pct"/>
                  <w:tcBorders>
                    <w:tl2br w:val="nil"/>
                    <w:tr2bl w:val="nil"/>
                  </w:tcBorders>
                  <w:noWrap w:val="0"/>
                  <w:vAlign w:val="center"/>
                </w:tcPr>
                <w:p>
                  <w:pPr>
                    <w:pStyle w:val="28"/>
                    <w:bidi w:val="0"/>
                    <w:ind w:left="0" w:leftChars="0" w:right="0" w:rightChars="0" w:firstLine="0" w:firstLineChars="0"/>
                    <w:jc w:val="center"/>
                    <w:rPr>
                      <w:b/>
                      <w:bCs/>
                      <w:color w:val="auto"/>
                    </w:rPr>
                  </w:pPr>
                  <w:r>
                    <w:rPr>
                      <w:b/>
                      <w:bCs/>
                      <w:color w:val="auto"/>
                      <w:lang w:val="en-US" w:eastAsia="zh-CN"/>
                    </w:rPr>
                    <w:t>产生</w:t>
                  </w:r>
                </w:p>
                <w:p>
                  <w:pPr>
                    <w:pStyle w:val="28"/>
                    <w:bidi w:val="0"/>
                    <w:ind w:left="0" w:leftChars="0" w:right="0" w:rightChars="0" w:firstLine="0" w:firstLineChars="0"/>
                    <w:jc w:val="center"/>
                    <w:rPr>
                      <w:b/>
                      <w:bCs/>
                      <w:color w:val="auto"/>
                      <w:lang w:val="en-US" w:eastAsia="zh-CN"/>
                    </w:rPr>
                  </w:pPr>
                  <w:r>
                    <w:rPr>
                      <w:rFonts w:hint="default"/>
                      <w:b/>
                      <w:bCs/>
                      <w:color w:val="auto"/>
                      <w:lang w:val="en-US" w:eastAsia="zh-CN"/>
                    </w:rPr>
                    <w:t>工序</w:t>
                  </w:r>
                </w:p>
              </w:tc>
              <w:tc>
                <w:tcPr>
                  <w:tcW w:w="388" w:type="pct"/>
                  <w:tcBorders>
                    <w:tl2br w:val="nil"/>
                    <w:tr2bl w:val="nil"/>
                  </w:tcBorders>
                  <w:noWrap w:val="0"/>
                  <w:vAlign w:val="center"/>
                </w:tcPr>
                <w:p>
                  <w:pPr>
                    <w:pStyle w:val="28"/>
                    <w:bidi w:val="0"/>
                    <w:ind w:left="0" w:leftChars="0" w:right="0" w:rightChars="0" w:firstLine="0" w:firstLineChars="0"/>
                    <w:jc w:val="center"/>
                    <w:rPr>
                      <w:b/>
                      <w:bCs/>
                      <w:color w:val="auto"/>
                    </w:rPr>
                  </w:pPr>
                  <w:r>
                    <w:rPr>
                      <w:b/>
                      <w:bCs/>
                      <w:color w:val="auto"/>
                      <w:lang w:val="en-US" w:eastAsia="zh-CN"/>
                    </w:rPr>
                    <w:t>形</w:t>
                  </w:r>
                </w:p>
                <w:p>
                  <w:pPr>
                    <w:pStyle w:val="28"/>
                    <w:bidi w:val="0"/>
                    <w:ind w:left="0" w:leftChars="0" w:right="0" w:rightChars="0" w:firstLine="0" w:firstLineChars="0"/>
                    <w:jc w:val="center"/>
                    <w:rPr>
                      <w:b/>
                      <w:bCs/>
                      <w:color w:val="auto"/>
                      <w:lang w:val="en-US" w:eastAsia="zh-CN"/>
                    </w:rPr>
                  </w:pPr>
                  <w:r>
                    <w:rPr>
                      <w:rFonts w:hint="default"/>
                      <w:b/>
                      <w:bCs/>
                      <w:color w:val="auto"/>
                      <w:lang w:val="en-US" w:eastAsia="zh-CN"/>
                    </w:rPr>
                    <w:t>态</w:t>
                  </w:r>
                </w:p>
              </w:tc>
              <w:tc>
                <w:tcPr>
                  <w:tcW w:w="472" w:type="pct"/>
                  <w:tcBorders>
                    <w:tl2br w:val="nil"/>
                    <w:tr2bl w:val="nil"/>
                  </w:tcBorders>
                  <w:noWrap w:val="0"/>
                  <w:vAlign w:val="center"/>
                </w:tcPr>
                <w:p>
                  <w:pPr>
                    <w:pStyle w:val="28"/>
                    <w:bidi w:val="0"/>
                    <w:ind w:left="0" w:leftChars="0" w:right="0" w:rightChars="0" w:firstLine="0" w:firstLineChars="0"/>
                    <w:jc w:val="center"/>
                    <w:rPr>
                      <w:b/>
                      <w:bCs/>
                      <w:color w:val="auto"/>
                      <w:lang w:val="en-US" w:eastAsia="zh-CN"/>
                    </w:rPr>
                  </w:pPr>
                  <w:r>
                    <w:rPr>
                      <w:b/>
                      <w:bCs/>
                      <w:color w:val="auto"/>
                      <w:lang w:val="en-US" w:eastAsia="zh-CN"/>
                    </w:rPr>
                    <w:t>主要</w:t>
                  </w:r>
                </w:p>
                <w:p>
                  <w:pPr>
                    <w:pStyle w:val="28"/>
                    <w:bidi w:val="0"/>
                    <w:ind w:left="0" w:leftChars="0" w:right="0" w:rightChars="0" w:firstLine="0" w:firstLineChars="0"/>
                    <w:jc w:val="center"/>
                    <w:rPr>
                      <w:b/>
                      <w:bCs/>
                      <w:color w:val="auto"/>
                      <w:lang w:val="en-US" w:eastAsia="zh-CN"/>
                    </w:rPr>
                  </w:pPr>
                  <w:r>
                    <w:rPr>
                      <w:b/>
                      <w:bCs/>
                      <w:color w:val="auto"/>
                      <w:lang w:val="en-US" w:eastAsia="zh-CN"/>
                    </w:rPr>
                    <w:t>成</w:t>
                  </w:r>
                  <w:r>
                    <w:rPr>
                      <w:rFonts w:hint="default"/>
                      <w:b/>
                      <w:bCs/>
                      <w:color w:val="auto"/>
                      <w:lang w:val="en-US" w:eastAsia="zh-CN"/>
                    </w:rPr>
                    <w:t>分</w:t>
                  </w:r>
                </w:p>
              </w:tc>
              <w:tc>
                <w:tcPr>
                  <w:tcW w:w="823" w:type="pct"/>
                  <w:tcBorders>
                    <w:tl2br w:val="nil"/>
                    <w:tr2bl w:val="nil"/>
                  </w:tcBorders>
                  <w:noWrap w:val="0"/>
                  <w:vAlign w:val="center"/>
                </w:tcPr>
                <w:p>
                  <w:pPr>
                    <w:pStyle w:val="28"/>
                    <w:bidi w:val="0"/>
                    <w:ind w:left="0" w:leftChars="0" w:right="0" w:rightChars="0" w:firstLine="0" w:firstLineChars="0"/>
                    <w:jc w:val="center"/>
                    <w:rPr>
                      <w:b/>
                      <w:bCs/>
                      <w:color w:val="auto"/>
                      <w:lang w:val="en-US" w:eastAsia="zh-CN"/>
                    </w:rPr>
                  </w:pPr>
                  <w:r>
                    <w:rPr>
                      <w:b/>
                      <w:bCs/>
                      <w:color w:val="auto"/>
                      <w:lang w:val="en-US" w:eastAsia="zh-CN"/>
                    </w:rPr>
                    <w:t>危险特性鉴</w:t>
                  </w:r>
                  <w:r>
                    <w:rPr>
                      <w:rFonts w:hint="default"/>
                      <w:b/>
                      <w:bCs/>
                      <w:color w:val="auto"/>
                      <w:lang w:val="en-US" w:eastAsia="zh-CN"/>
                    </w:rPr>
                    <w:t>别方法</w:t>
                  </w:r>
                </w:p>
              </w:tc>
              <w:tc>
                <w:tcPr>
                  <w:tcW w:w="496" w:type="pct"/>
                  <w:tcBorders>
                    <w:tl2br w:val="nil"/>
                    <w:tr2bl w:val="nil"/>
                  </w:tcBorders>
                  <w:noWrap w:val="0"/>
                  <w:vAlign w:val="center"/>
                </w:tcPr>
                <w:p>
                  <w:pPr>
                    <w:pStyle w:val="28"/>
                    <w:bidi w:val="0"/>
                    <w:ind w:left="0" w:leftChars="0" w:right="0" w:rightChars="0" w:firstLine="0" w:firstLineChars="0"/>
                    <w:jc w:val="center"/>
                    <w:rPr>
                      <w:b/>
                      <w:bCs/>
                      <w:color w:val="auto"/>
                      <w:lang w:val="en-US" w:eastAsia="zh-CN"/>
                    </w:rPr>
                  </w:pPr>
                  <w:r>
                    <w:rPr>
                      <w:b/>
                      <w:bCs/>
                      <w:color w:val="auto"/>
                      <w:lang w:val="en-US" w:eastAsia="zh-CN"/>
                    </w:rPr>
                    <w:t>危险</w:t>
                  </w:r>
                </w:p>
                <w:p>
                  <w:pPr>
                    <w:pStyle w:val="28"/>
                    <w:bidi w:val="0"/>
                    <w:ind w:left="0" w:leftChars="0" w:right="0" w:rightChars="0" w:firstLine="0" w:firstLineChars="0"/>
                    <w:jc w:val="center"/>
                    <w:rPr>
                      <w:b/>
                      <w:bCs/>
                      <w:color w:val="auto"/>
                      <w:lang w:val="en-US" w:eastAsia="zh-CN"/>
                    </w:rPr>
                  </w:pPr>
                  <w:r>
                    <w:rPr>
                      <w:b/>
                      <w:bCs/>
                      <w:color w:val="auto"/>
                      <w:lang w:val="en-US" w:eastAsia="zh-CN"/>
                    </w:rPr>
                    <w:t>特</w:t>
                  </w:r>
                  <w:r>
                    <w:rPr>
                      <w:rFonts w:hint="default"/>
                      <w:b/>
                      <w:bCs/>
                      <w:color w:val="auto"/>
                      <w:lang w:val="en-US" w:eastAsia="zh-CN"/>
                    </w:rPr>
                    <w:t>性</w:t>
                  </w:r>
                </w:p>
              </w:tc>
              <w:tc>
                <w:tcPr>
                  <w:tcW w:w="474" w:type="pct"/>
                  <w:tcBorders>
                    <w:tl2br w:val="nil"/>
                    <w:tr2bl w:val="nil"/>
                  </w:tcBorders>
                  <w:noWrap w:val="0"/>
                  <w:vAlign w:val="center"/>
                </w:tcPr>
                <w:p>
                  <w:pPr>
                    <w:pStyle w:val="28"/>
                    <w:bidi w:val="0"/>
                    <w:ind w:left="0" w:leftChars="0" w:right="0" w:rightChars="0" w:firstLine="0" w:firstLineChars="0"/>
                    <w:jc w:val="center"/>
                    <w:rPr>
                      <w:b/>
                      <w:bCs/>
                      <w:color w:val="auto"/>
                    </w:rPr>
                  </w:pPr>
                  <w:r>
                    <w:rPr>
                      <w:b/>
                      <w:bCs/>
                      <w:color w:val="auto"/>
                      <w:lang w:val="en-US" w:eastAsia="zh-CN"/>
                    </w:rPr>
                    <w:t>废物</w:t>
                  </w:r>
                </w:p>
                <w:p>
                  <w:pPr>
                    <w:pStyle w:val="28"/>
                    <w:bidi w:val="0"/>
                    <w:ind w:left="0" w:leftChars="0" w:right="0" w:rightChars="0" w:firstLine="0" w:firstLineChars="0"/>
                    <w:jc w:val="center"/>
                    <w:rPr>
                      <w:b/>
                      <w:bCs/>
                      <w:color w:val="auto"/>
                      <w:lang w:val="en-US" w:eastAsia="zh-CN"/>
                    </w:rPr>
                  </w:pPr>
                  <w:r>
                    <w:rPr>
                      <w:rFonts w:hint="default"/>
                      <w:b/>
                      <w:bCs/>
                      <w:color w:val="auto"/>
                      <w:lang w:val="en-US" w:eastAsia="zh-CN"/>
                    </w:rPr>
                    <w:t>类别</w:t>
                  </w:r>
                </w:p>
              </w:tc>
              <w:tc>
                <w:tcPr>
                  <w:tcW w:w="806" w:type="pct"/>
                  <w:tcBorders>
                    <w:tl2br w:val="nil"/>
                    <w:tr2bl w:val="nil"/>
                  </w:tcBorders>
                  <w:noWrap w:val="0"/>
                  <w:vAlign w:val="center"/>
                </w:tcPr>
                <w:p>
                  <w:pPr>
                    <w:pStyle w:val="28"/>
                    <w:bidi w:val="0"/>
                    <w:ind w:left="0" w:leftChars="0" w:right="0" w:rightChars="0" w:firstLine="0" w:firstLineChars="0"/>
                    <w:jc w:val="center"/>
                    <w:rPr>
                      <w:b/>
                      <w:bCs/>
                      <w:color w:val="auto"/>
                    </w:rPr>
                  </w:pPr>
                  <w:r>
                    <w:rPr>
                      <w:b/>
                      <w:bCs/>
                      <w:color w:val="auto"/>
                      <w:lang w:val="en-US" w:eastAsia="zh-CN"/>
                    </w:rPr>
                    <w:t>废物</w:t>
                  </w:r>
                </w:p>
                <w:p>
                  <w:pPr>
                    <w:pStyle w:val="28"/>
                    <w:bidi w:val="0"/>
                    <w:ind w:left="0" w:leftChars="0" w:right="0" w:rightChars="0" w:firstLine="0" w:firstLineChars="0"/>
                    <w:jc w:val="center"/>
                    <w:rPr>
                      <w:b/>
                      <w:bCs/>
                      <w:color w:val="auto"/>
                      <w:lang w:val="en-US" w:eastAsia="zh-CN"/>
                    </w:rPr>
                  </w:pPr>
                  <w:r>
                    <w:rPr>
                      <w:rFonts w:hint="default"/>
                      <w:b/>
                      <w:bCs/>
                      <w:color w:val="auto"/>
                      <w:lang w:val="en-US" w:eastAsia="zh-CN"/>
                    </w:rPr>
                    <w:t>代码</w:t>
                  </w:r>
                </w:p>
              </w:tc>
              <w:tc>
                <w:tcPr>
                  <w:tcW w:w="420" w:type="pct"/>
                  <w:tcBorders>
                    <w:tl2br w:val="nil"/>
                    <w:tr2bl w:val="nil"/>
                  </w:tcBorders>
                  <w:noWrap w:val="0"/>
                  <w:vAlign w:val="center"/>
                </w:tcPr>
                <w:p>
                  <w:pPr>
                    <w:pStyle w:val="28"/>
                    <w:bidi w:val="0"/>
                    <w:ind w:left="0" w:leftChars="0" w:right="0" w:rightChars="0" w:firstLine="0" w:firstLineChars="0"/>
                    <w:jc w:val="center"/>
                    <w:rPr>
                      <w:b/>
                      <w:bCs/>
                      <w:color w:val="auto"/>
                      <w:lang w:val="en-US" w:eastAsia="zh-CN"/>
                    </w:rPr>
                  </w:pPr>
                  <w:r>
                    <w:rPr>
                      <w:b/>
                      <w:bCs/>
                      <w:color w:val="auto"/>
                      <w:lang w:val="en-US" w:eastAsia="zh-CN"/>
                    </w:rPr>
                    <w:t>估算产</w:t>
                  </w:r>
                  <w:r>
                    <w:rPr>
                      <w:rFonts w:hint="default"/>
                      <w:b/>
                      <w:bCs/>
                      <w:color w:val="auto"/>
                      <w:lang w:val="en-US" w:eastAsia="zh-CN"/>
                    </w:rPr>
                    <w:t>生量t/a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vMerge w:val="restar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1</w:t>
                  </w:r>
                </w:p>
              </w:tc>
              <w:tc>
                <w:tcPr>
                  <w:tcW w:w="245" w:type="pct"/>
                  <w:vMerge w:val="restart"/>
                  <w:tcBorders>
                    <w:tl2br w:val="nil"/>
                    <w:tr2bl w:val="nil"/>
                  </w:tcBorders>
                  <w:noWrap w:val="0"/>
                  <w:vAlign w:val="center"/>
                </w:tcPr>
                <w:p>
                  <w:pPr>
                    <w:pStyle w:val="28"/>
                    <w:bidi w:val="0"/>
                    <w:ind w:left="0" w:leftChars="0" w:right="0" w:rightChars="0" w:firstLine="0" w:firstLineChars="0"/>
                    <w:jc w:val="center"/>
                    <w:rPr>
                      <w:color w:val="auto"/>
                      <w:lang w:val="en-US" w:eastAsia="zh-CN"/>
                    </w:rPr>
                  </w:pPr>
                  <w:r>
                    <w:rPr>
                      <w:rFonts w:hint="default"/>
                      <w:color w:val="auto"/>
                      <w:lang w:val="en-US" w:eastAsia="zh-CN"/>
                    </w:rPr>
                    <w:t>实验</w:t>
                  </w:r>
                </w:p>
                <w:p>
                  <w:pPr>
                    <w:pStyle w:val="28"/>
                    <w:bidi w:val="0"/>
                    <w:ind w:left="0" w:leftChars="0" w:right="0" w:rightChars="0" w:firstLine="0" w:firstLineChars="0"/>
                    <w:jc w:val="center"/>
                    <w:rPr>
                      <w:rFonts w:hint="default"/>
                      <w:color w:val="auto"/>
                      <w:lang w:val="en-US" w:eastAsia="zh-CN"/>
                    </w:rPr>
                  </w:pPr>
                  <w:r>
                    <w:rPr>
                      <w:rFonts w:hint="default"/>
                      <w:color w:val="auto"/>
                      <w:lang w:val="en-US" w:eastAsia="zh-CN"/>
                    </w:rPr>
                    <w:t>废物一般</w:t>
                  </w:r>
                </w:p>
                <w:p>
                  <w:pPr>
                    <w:pStyle w:val="28"/>
                    <w:bidi w:val="0"/>
                    <w:ind w:left="0" w:leftChars="0" w:right="0" w:rightChars="0" w:firstLine="0" w:firstLineChars="0"/>
                    <w:jc w:val="center"/>
                    <w:rPr>
                      <w:color w:val="auto"/>
                      <w:lang w:val="en-US" w:eastAsia="zh-CN"/>
                    </w:rPr>
                  </w:pPr>
                  <w:r>
                    <w:rPr>
                      <w:rFonts w:hint="default"/>
                      <w:color w:val="auto"/>
                      <w:lang w:val="en-US" w:eastAsia="zh-CN"/>
                    </w:rPr>
                    <w:t>固废</w:t>
                  </w:r>
                </w:p>
              </w:tc>
              <w:tc>
                <w:tcPr>
                  <w:tcW w:w="316" w:type="pct"/>
                  <w:vMerge w:val="restar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一</w:t>
                  </w:r>
                  <w:r>
                    <w:rPr>
                      <w:rFonts w:hint="default"/>
                      <w:color w:val="auto"/>
                      <w:lang w:val="en-US" w:eastAsia="zh-CN"/>
                    </w:rPr>
                    <w:t>般</w:t>
                  </w:r>
                </w:p>
                <w:p>
                  <w:pPr>
                    <w:pStyle w:val="28"/>
                    <w:bidi w:val="0"/>
                    <w:ind w:left="0" w:leftChars="0" w:right="0" w:rightChars="0" w:firstLine="0" w:firstLineChars="0"/>
                    <w:jc w:val="center"/>
                    <w:rPr>
                      <w:color w:val="auto"/>
                      <w:lang w:val="en-US" w:eastAsia="zh-CN"/>
                    </w:rPr>
                  </w:pPr>
                  <w:r>
                    <w:rPr>
                      <w:rFonts w:hint="default"/>
                      <w:color w:val="auto"/>
                      <w:lang w:val="en-US" w:eastAsia="zh-CN"/>
                    </w:rPr>
                    <w:t>固废</w:t>
                  </w:r>
                </w:p>
              </w:tc>
              <w:tc>
                <w:tcPr>
                  <w:tcW w:w="324" w:type="pct"/>
                  <w:vMerge w:val="restar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实验</w:t>
                  </w:r>
                </w:p>
                <w:p>
                  <w:pPr>
                    <w:pStyle w:val="28"/>
                    <w:bidi w:val="0"/>
                    <w:ind w:left="0" w:leftChars="0" w:right="0" w:rightChars="0" w:firstLine="0" w:firstLineChars="0"/>
                    <w:jc w:val="center"/>
                    <w:rPr>
                      <w:color w:val="auto"/>
                      <w:lang w:val="en-US" w:eastAsia="zh-CN"/>
                    </w:rPr>
                  </w:pPr>
                  <w:r>
                    <w:rPr>
                      <w:rFonts w:hint="default"/>
                      <w:color w:val="auto"/>
                      <w:lang w:val="en-US" w:eastAsia="zh-CN"/>
                    </w:rPr>
                    <w:t>授课</w:t>
                  </w:r>
                </w:p>
              </w:tc>
              <w:tc>
                <w:tcPr>
                  <w:tcW w:w="388" w:type="pct"/>
                  <w:vMerge w:val="restar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固</w:t>
                  </w:r>
                </w:p>
                <w:p>
                  <w:pPr>
                    <w:pStyle w:val="28"/>
                    <w:bidi w:val="0"/>
                    <w:ind w:left="0" w:leftChars="0" w:right="0" w:rightChars="0" w:firstLine="0" w:firstLineChars="0"/>
                    <w:jc w:val="center"/>
                    <w:rPr>
                      <w:color w:val="auto"/>
                      <w:lang w:val="en-US" w:eastAsia="zh-CN"/>
                    </w:rPr>
                  </w:pPr>
                </w:p>
              </w:tc>
              <w:tc>
                <w:tcPr>
                  <w:tcW w:w="472" w:type="pct"/>
                  <w:vMerge w:val="restart"/>
                  <w:tcBorders>
                    <w:tl2br w:val="nil"/>
                    <w:tr2bl w:val="nil"/>
                  </w:tcBorders>
                  <w:noWrap w:val="0"/>
                  <w:vAlign w:val="center"/>
                </w:tcPr>
                <w:p>
                  <w:pPr>
                    <w:pStyle w:val="28"/>
                    <w:bidi w:val="0"/>
                    <w:ind w:left="0" w:leftChars="0" w:right="0" w:rightChars="0" w:firstLine="0" w:firstLineChars="0"/>
                    <w:jc w:val="center"/>
                    <w:rPr>
                      <w:color w:val="auto"/>
                      <w:lang w:val="en-US" w:eastAsia="zh-CN"/>
                    </w:rPr>
                  </w:pPr>
                  <w:r>
                    <w:rPr>
                      <w:color w:val="auto"/>
                      <w:lang w:val="en-US" w:eastAsia="zh-CN"/>
                    </w:rPr>
                    <w:t>玻</w:t>
                  </w:r>
                  <w:r>
                    <w:rPr>
                      <w:rFonts w:hint="default"/>
                      <w:color w:val="auto"/>
                      <w:lang w:val="en-US" w:eastAsia="zh-CN"/>
                    </w:rPr>
                    <w:t>璃片、植物碎片</w:t>
                  </w:r>
                </w:p>
                <w:p>
                  <w:pPr>
                    <w:pStyle w:val="28"/>
                    <w:bidi w:val="0"/>
                    <w:ind w:left="0" w:leftChars="0" w:right="0" w:rightChars="0" w:firstLine="0" w:firstLineChars="0"/>
                    <w:jc w:val="center"/>
                    <w:rPr>
                      <w:color w:val="auto"/>
                    </w:rPr>
                  </w:pPr>
                  <w:r>
                    <w:rPr>
                      <w:rFonts w:hint="eastAsia"/>
                      <w:color w:val="auto"/>
                      <w:lang w:val="en-US" w:eastAsia="zh-CN"/>
                    </w:rPr>
                    <w:t>破损的玻璃器皿</w:t>
                  </w:r>
                </w:p>
              </w:tc>
              <w:tc>
                <w:tcPr>
                  <w:tcW w:w="823" w:type="pct"/>
                  <w:vMerge w:val="restar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color w:val="auto"/>
                      <w:lang w:val="en-US" w:eastAsia="zh-CN"/>
                    </w:rPr>
                    <w:t>《</w:t>
                  </w:r>
                  <w:r>
                    <w:rPr>
                      <w:rFonts w:hint="default"/>
                      <w:color w:val="auto"/>
                      <w:lang w:val="en-US" w:eastAsia="zh-CN"/>
                    </w:rPr>
                    <w:t>一般固体废物分类与 代码》（GB/T</w:t>
                  </w:r>
                </w:p>
                <w:p>
                  <w:pPr>
                    <w:pStyle w:val="28"/>
                    <w:bidi w:val="0"/>
                    <w:ind w:left="0" w:leftChars="0" w:right="0" w:rightChars="0" w:firstLine="0" w:firstLineChars="0"/>
                    <w:jc w:val="center"/>
                    <w:rPr>
                      <w:color w:val="auto"/>
                      <w:lang w:val="en-US" w:eastAsia="zh-CN"/>
                    </w:rPr>
                  </w:pPr>
                  <w:r>
                    <w:rPr>
                      <w:rFonts w:hint="default"/>
                      <w:color w:val="auto"/>
                      <w:lang w:val="en-US" w:eastAsia="zh-CN"/>
                    </w:rPr>
                    <w:t>39198-2020）</w:t>
                  </w:r>
                </w:p>
              </w:tc>
              <w:tc>
                <w:tcPr>
                  <w:tcW w:w="496"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w:t>
                  </w:r>
                </w:p>
              </w:tc>
              <w:tc>
                <w:tcPr>
                  <w:tcW w:w="474" w:type="pct"/>
                  <w:vMerge w:val="restart"/>
                  <w:tcBorders>
                    <w:tl2br w:val="nil"/>
                    <w:tr2bl w:val="nil"/>
                  </w:tcBorders>
                  <w:noWrap w:val="0"/>
                  <w:vAlign w:val="center"/>
                </w:tcPr>
                <w:p>
                  <w:pPr>
                    <w:pStyle w:val="28"/>
                    <w:bidi w:val="0"/>
                    <w:ind w:left="0" w:leftChars="0" w:right="0" w:rightChars="0" w:firstLine="0" w:firstLineChars="0"/>
                    <w:jc w:val="both"/>
                    <w:rPr>
                      <w:rFonts w:hint="eastAsia"/>
                      <w:color w:val="auto"/>
                      <w:lang w:val="en-US" w:eastAsia="zh-CN"/>
                    </w:rPr>
                  </w:pPr>
                </w:p>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Ⅰ类</w:t>
                  </w:r>
                </w:p>
              </w:tc>
              <w:tc>
                <w:tcPr>
                  <w:tcW w:w="806" w:type="pct"/>
                  <w:vMerge w:val="restar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default"/>
                      <w:color w:val="auto"/>
                      <w:lang w:val="en-US" w:eastAsia="zh-CN"/>
                    </w:rPr>
                    <w:t>300-001-08</w:t>
                  </w:r>
                </w:p>
                <w:p>
                  <w:pPr>
                    <w:pStyle w:val="28"/>
                    <w:bidi w:val="0"/>
                    <w:ind w:left="0" w:leftChars="0" w:right="0" w:rightChars="0" w:firstLine="0" w:firstLineChars="0"/>
                    <w:jc w:val="center"/>
                    <w:rPr>
                      <w:color w:val="auto"/>
                      <w:lang w:val="en-US" w:eastAsia="zh-CN"/>
                    </w:rPr>
                  </w:pPr>
                  <w:r>
                    <w:rPr>
                      <w:rFonts w:hint="default"/>
                      <w:color w:val="auto"/>
                      <w:lang w:val="en-US" w:eastAsia="zh-CN"/>
                    </w:rPr>
                    <w:t>（废玻璃）</w:t>
                  </w:r>
                </w:p>
              </w:tc>
              <w:tc>
                <w:tcPr>
                  <w:tcW w:w="420" w:type="pct"/>
                  <w:vMerge w:val="restart"/>
                  <w:tcBorders>
                    <w:tl2br w:val="nil"/>
                    <w:tr2bl w:val="nil"/>
                  </w:tcBorders>
                  <w:noWrap w:val="0"/>
                  <w:vAlign w:val="center"/>
                </w:tcPr>
                <w:p>
                  <w:pPr>
                    <w:pStyle w:val="28"/>
                    <w:bidi w:val="0"/>
                    <w:ind w:left="0" w:leftChars="0" w:right="0" w:rightChars="0" w:firstLine="0" w:firstLineChars="0"/>
                    <w:jc w:val="center"/>
                    <w:rPr>
                      <w:rFonts w:hint="eastAsia"/>
                      <w:color w:val="auto"/>
                      <w:lang w:val="en-US" w:eastAsia="zh-CN"/>
                    </w:rPr>
                  </w:pPr>
                  <w:r>
                    <w:rPr>
                      <w:rFonts w:hint="eastAsia"/>
                      <w:color w:val="auto"/>
                      <w:lang w:val="en-US" w:eastAsia="zh-CN"/>
                    </w:rPr>
                    <w:t>0.01</w:t>
                  </w:r>
                </w:p>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0.015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245"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16"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24"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88"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472"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823"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496"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w:t>
                  </w:r>
                </w:p>
              </w:tc>
              <w:tc>
                <w:tcPr>
                  <w:tcW w:w="474" w:type="pct"/>
                  <w:vMerge w:val="continue"/>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p>
              </w:tc>
              <w:tc>
                <w:tcPr>
                  <w:tcW w:w="806" w:type="pct"/>
                  <w:vMerge w:val="continue"/>
                  <w:tcBorders>
                    <w:tl2br w:val="nil"/>
                    <w:tr2bl w:val="nil"/>
                  </w:tcBorders>
                  <w:noWrap w:val="0"/>
                  <w:vAlign w:val="center"/>
                </w:tcPr>
                <w:p>
                  <w:pPr>
                    <w:pStyle w:val="28"/>
                    <w:bidi w:val="0"/>
                    <w:ind w:left="0" w:leftChars="0" w:right="0" w:rightChars="0" w:firstLine="0" w:firstLineChars="0"/>
                    <w:jc w:val="center"/>
                    <w:rPr>
                      <w:color w:val="auto"/>
                      <w:lang w:val="en-US" w:eastAsia="zh-CN"/>
                    </w:rPr>
                  </w:pPr>
                </w:p>
              </w:tc>
              <w:tc>
                <w:tcPr>
                  <w:tcW w:w="420" w:type="pct"/>
                  <w:vMerge w:val="continue"/>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245"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16"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24"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388"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472" w:type="pct"/>
                  <w:tcBorders>
                    <w:tl2br w:val="nil"/>
                    <w:tr2bl w:val="nil"/>
                  </w:tcBorders>
                  <w:noWrap w:val="0"/>
                  <w:vAlign w:val="center"/>
                </w:tcPr>
                <w:p>
                  <w:pPr>
                    <w:pStyle w:val="28"/>
                    <w:bidi w:val="0"/>
                    <w:ind w:left="0" w:leftChars="0" w:right="0" w:rightChars="0" w:firstLine="0" w:firstLineChars="0"/>
                    <w:jc w:val="center"/>
                    <w:rPr>
                      <w:color w:val="auto"/>
                    </w:rPr>
                  </w:pPr>
                  <w:r>
                    <w:rPr>
                      <w:rFonts w:hint="eastAsia"/>
                      <w:color w:val="auto"/>
                      <w:lang w:val="en-US" w:eastAsia="zh-CN"/>
                    </w:rPr>
                    <w:t>废弃外包装</w:t>
                  </w:r>
                </w:p>
              </w:tc>
              <w:tc>
                <w:tcPr>
                  <w:tcW w:w="823" w:type="pct"/>
                  <w:vMerge w:val="continue"/>
                  <w:tcBorders>
                    <w:tl2br w:val="nil"/>
                    <w:tr2bl w:val="nil"/>
                  </w:tcBorders>
                  <w:noWrap w:val="0"/>
                  <w:vAlign w:val="center"/>
                </w:tcPr>
                <w:p>
                  <w:pPr>
                    <w:pStyle w:val="28"/>
                    <w:bidi w:val="0"/>
                    <w:ind w:left="0" w:leftChars="0" w:right="0" w:rightChars="0" w:firstLine="0" w:firstLineChars="0"/>
                    <w:jc w:val="center"/>
                    <w:rPr>
                      <w:color w:val="auto"/>
                    </w:rPr>
                  </w:pPr>
                </w:p>
              </w:tc>
              <w:tc>
                <w:tcPr>
                  <w:tcW w:w="496" w:type="pct"/>
                  <w:tcBorders>
                    <w:tl2br w:val="nil"/>
                    <w:tr2bl w:val="nil"/>
                  </w:tcBorders>
                  <w:noWrap w:val="0"/>
                  <w:vAlign w:val="center"/>
                </w:tcPr>
                <w:p>
                  <w:pPr>
                    <w:pStyle w:val="28"/>
                    <w:bidi w:val="0"/>
                    <w:ind w:left="0" w:leftChars="0" w:right="0" w:rightChars="0" w:firstLine="0" w:firstLineChars="0"/>
                    <w:jc w:val="center"/>
                    <w:rPr>
                      <w:rFonts w:hint="eastAsia" w:eastAsia="宋体" w:asciiTheme="minorAscii" w:hAnsiTheme="minorAscii" w:cstheme="minorBidi"/>
                      <w:color w:val="auto"/>
                      <w:sz w:val="21"/>
                      <w:lang w:val="en-US" w:eastAsia="zh-CN"/>
                    </w:rPr>
                  </w:pPr>
                  <w:r>
                    <w:rPr>
                      <w:rFonts w:hint="eastAsia"/>
                      <w:color w:val="auto"/>
                      <w:lang w:val="en-US" w:eastAsia="zh-CN"/>
                    </w:rPr>
                    <w:t>/</w:t>
                  </w:r>
                </w:p>
              </w:tc>
              <w:tc>
                <w:tcPr>
                  <w:tcW w:w="474" w:type="pct"/>
                  <w:tcBorders>
                    <w:tl2br w:val="nil"/>
                    <w:tr2bl w:val="nil"/>
                  </w:tcBorders>
                  <w:noWrap w:val="0"/>
                  <w:vAlign w:val="center"/>
                </w:tcPr>
                <w:p>
                  <w:pPr>
                    <w:pStyle w:val="28"/>
                    <w:bidi w:val="0"/>
                    <w:ind w:left="0" w:leftChars="0" w:right="0" w:rightChars="0" w:firstLine="0" w:firstLineChars="0"/>
                    <w:jc w:val="center"/>
                    <w:rPr>
                      <w:rFonts w:hint="eastAsia" w:eastAsia="宋体" w:asciiTheme="minorAscii" w:hAnsiTheme="minorAscii" w:cstheme="minorBidi"/>
                      <w:color w:val="auto"/>
                      <w:sz w:val="21"/>
                      <w:lang w:val="en-US" w:eastAsia="zh-CN"/>
                    </w:rPr>
                  </w:pPr>
                  <w:r>
                    <w:rPr>
                      <w:rFonts w:hint="eastAsia"/>
                      <w:color w:val="auto"/>
                      <w:lang w:val="en-US" w:eastAsia="zh-CN"/>
                    </w:rPr>
                    <w:t>Ⅰ类</w:t>
                  </w:r>
                </w:p>
              </w:tc>
              <w:tc>
                <w:tcPr>
                  <w:tcW w:w="806"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223-001-07（废复合包装）</w:t>
                  </w:r>
                </w:p>
              </w:tc>
              <w:tc>
                <w:tcPr>
                  <w:tcW w:w="420"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0.04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2</w:t>
                  </w:r>
                </w:p>
              </w:tc>
              <w:tc>
                <w:tcPr>
                  <w:tcW w:w="245"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化学</w:t>
                  </w:r>
                </w:p>
                <w:p>
                  <w:pPr>
                    <w:pStyle w:val="28"/>
                    <w:bidi w:val="0"/>
                    <w:ind w:left="0" w:leftChars="0" w:right="0" w:rightChars="0" w:firstLine="0" w:firstLineChars="0"/>
                    <w:jc w:val="center"/>
                    <w:rPr>
                      <w:color w:val="auto"/>
                    </w:rPr>
                  </w:pPr>
                  <w:r>
                    <w:rPr>
                      <w:rFonts w:hint="default"/>
                      <w:color w:val="auto"/>
                      <w:lang w:val="en-US" w:eastAsia="zh-CN"/>
                    </w:rPr>
                    <w:t>实验</w:t>
                  </w:r>
                </w:p>
                <w:p>
                  <w:pPr>
                    <w:pStyle w:val="28"/>
                    <w:bidi w:val="0"/>
                    <w:ind w:left="0" w:leftChars="0" w:right="0" w:rightChars="0" w:firstLine="0" w:firstLineChars="0"/>
                    <w:jc w:val="center"/>
                    <w:rPr>
                      <w:color w:val="auto"/>
                      <w:lang w:val="en-US" w:eastAsia="zh-CN"/>
                    </w:rPr>
                  </w:pPr>
                  <w:r>
                    <w:rPr>
                      <w:rFonts w:hint="default"/>
                      <w:color w:val="auto"/>
                      <w:lang w:val="en-US" w:eastAsia="zh-CN"/>
                    </w:rPr>
                    <w:t>废物</w:t>
                  </w:r>
                </w:p>
              </w:tc>
              <w:tc>
                <w:tcPr>
                  <w:tcW w:w="316"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危</w:t>
                  </w:r>
                  <w:r>
                    <w:rPr>
                      <w:rFonts w:hint="default"/>
                      <w:color w:val="auto"/>
                      <w:lang w:val="en-US" w:eastAsia="zh-CN"/>
                    </w:rPr>
                    <w:t>险</w:t>
                  </w:r>
                </w:p>
                <w:p>
                  <w:pPr>
                    <w:pStyle w:val="28"/>
                    <w:bidi w:val="0"/>
                    <w:ind w:left="0" w:leftChars="0" w:right="0" w:rightChars="0" w:firstLine="0" w:firstLineChars="0"/>
                    <w:jc w:val="center"/>
                    <w:rPr>
                      <w:color w:val="auto"/>
                    </w:rPr>
                  </w:pPr>
                  <w:r>
                    <w:rPr>
                      <w:rFonts w:hint="default"/>
                      <w:color w:val="auto"/>
                      <w:lang w:val="en-US" w:eastAsia="zh-CN"/>
                    </w:rPr>
                    <w:t>固废</w:t>
                  </w:r>
                </w:p>
                <w:p>
                  <w:pPr>
                    <w:pStyle w:val="28"/>
                    <w:bidi w:val="0"/>
                    <w:ind w:left="0" w:leftChars="0" w:right="0" w:rightChars="0" w:firstLine="0" w:firstLineChars="0"/>
                    <w:jc w:val="center"/>
                    <w:rPr>
                      <w:color w:val="auto"/>
                      <w:lang w:val="en-US" w:eastAsia="zh-CN"/>
                    </w:rPr>
                  </w:pPr>
                </w:p>
              </w:tc>
              <w:tc>
                <w:tcPr>
                  <w:tcW w:w="324"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实验</w:t>
                  </w:r>
                </w:p>
                <w:p>
                  <w:pPr>
                    <w:pStyle w:val="28"/>
                    <w:bidi w:val="0"/>
                    <w:ind w:left="0" w:leftChars="0" w:right="0" w:rightChars="0" w:firstLine="0" w:firstLineChars="0"/>
                    <w:jc w:val="center"/>
                    <w:rPr>
                      <w:color w:val="auto"/>
                      <w:lang w:val="en-US" w:eastAsia="zh-CN"/>
                    </w:rPr>
                  </w:pPr>
                  <w:r>
                    <w:rPr>
                      <w:rFonts w:hint="default"/>
                      <w:color w:val="auto"/>
                      <w:lang w:val="en-US" w:eastAsia="zh-CN"/>
                    </w:rPr>
                    <w:t>授课</w:t>
                  </w:r>
                </w:p>
              </w:tc>
              <w:tc>
                <w:tcPr>
                  <w:tcW w:w="388"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固、</w:t>
                  </w:r>
                </w:p>
                <w:p>
                  <w:pPr>
                    <w:pStyle w:val="28"/>
                    <w:bidi w:val="0"/>
                    <w:ind w:left="0" w:leftChars="0" w:right="0" w:rightChars="0" w:firstLine="0" w:firstLineChars="0"/>
                    <w:jc w:val="center"/>
                    <w:rPr>
                      <w:color w:val="auto"/>
                      <w:lang w:val="en-US" w:eastAsia="zh-CN"/>
                    </w:rPr>
                  </w:pPr>
                  <w:r>
                    <w:rPr>
                      <w:rFonts w:hint="default"/>
                      <w:color w:val="auto"/>
                      <w:lang w:val="en-US" w:eastAsia="zh-CN"/>
                    </w:rPr>
                    <w:t>液</w:t>
                  </w:r>
                </w:p>
              </w:tc>
              <w:tc>
                <w:tcPr>
                  <w:tcW w:w="472"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酸碱废</w:t>
                  </w:r>
                  <w:r>
                    <w:rPr>
                      <w:rFonts w:hint="default"/>
                      <w:color w:val="auto"/>
                      <w:lang w:val="en-US" w:eastAsia="zh-CN"/>
                    </w:rPr>
                    <w:t>液及废</w:t>
                  </w:r>
                </w:p>
                <w:p>
                  <w:pPr>
                    <w:pStyle w:val="28"/>
                    <w:bidi w:val="0"/>
                    <w:ind w:left="0" w:leftChars="0" w:right="0" w:rightChars="0" w:firstLine="0" w:firstLineChars="0"/>
                    <w:jc w:val="center"/>
                    <w:rPr>
                      <w:color w:val="auto"/>
                      <w:lang w:val="en-US" w:eastAsia="zh-CN"/>
                    </w:rPr>
                  </w:pPr>
                  <w:r>
                    <w:rPr>
                      <w:rFonts w:hint="default"/>
                      <w:color w:val="auto"/>
                      <w:lang w:val="en-US" w:eastAsia="zh-CN"/>
                    </w:rPr>
                    <w:t>试剂瓶</w:t>
                  </w:r>
                </w:p>
              </w:tc>
              <w:tc>
                <w:tcPr>
                  <w:tcW w:w="823"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《国家危险</w:t>
                  </w:r>
                </w:p>
                <w:p>
                  <w:pPr>
                    <w:pStyle w:val="28"/>
                    <w:bidi w:val="0"/>
                    <w:ind w:left="0" w:leftChars="0" w:right="0" w:rightChars="0" w:firstLine="0" w:firstLineChars="0"/>
                    <w:jc w:val="center"/>
                    <w:rPr>
                      <w:color w:val="auto"/>
                    </w:rPr>
                  </w:pPr>
                  <w:r>
                    <w:rPr>
                      <w:rFonts w:hint="default"/>
                      <w:color w:val="auto"/>
                      <w:lang w:val="en-US" w:eastAsia="zh-CN"/>
                    </w:rPr>
                    <w:t>废物名录》</w:t>
                  </w:r>
                </w:p>
                <w:p>
                  <w:pPr>
                    <w:pStyle w:val="28"/>
                    <w:bidi w:val="0"/>
                    <w:ind w:left="0" w:leftChars="0" w:right="0" w:rightChars="0" w:firstLine="0" w:firstLineChars="0"/>
                    <w:jc w:val="center"/>
                    <w:rPr>
                      <w:color w:val="auto"/>
                      <w:lang w:val="en-US" w:eastAsia="zh-CN"/>
                    </w:rPr>
                  </w:pPr>
                  <w:r>
                    <w:rPr>
                      <w:rFonts w:hint="default"/>
                      <w:color w:val="auto"/>
                      <w:lang w:val="en-US" w:eastAsia="zh-CN"/>
                    </w:rPr>
                    <w:t>（2021年）</w:t>
                  </w:r>
                </w:p>
              </w:tc>
              <w:tc>
                <w:tcPr>
                  <w:tcW w:w="496" w:type="pct"/>
                  <w:tcBorders>
                    <w:tl2br w:val="nil"/>
                    <w:tr2bl w:val="nil"/>
                  </w:tcBorders>
                  <w:noWrap w:val="0"/>
                  <w:vAlign w:val="center"/>
                </w:tcPr>
                <w:p>
                  <w:pPr>
                    <w:pStyle w:val="28"/>
                    <w:bidi w:val="0"/>
                    <w:ind w:left="0" w:leftChars="0" w:right="0" w:rightChars="0" w:firstLine="0" w:firstLineChars="0"/>
                    <w:jc w:val="center"/>
                    <w:rPr>
                      <w:color w:val="auto"/>
                      <w:lang w:val="en-US" w:eastAsia="zh-CN"/>
                    </w:rPr>
                  </w:pPr>
                  <w:r>
                    <w:rPr>
                      <w:rFonts w:hint="default"/>
                      <w:color w:val="auto"/>
                      <w:lang w:val="en-US" w:eastAsia="zh-CN"/>
                    </w:rPr>
                    <w:t>T/C/I/R</w:t>
                  </w:r>
                </w:p>
              </w:tc>
              <w:tc>
                <w:tcPr>
                  <w:tcW w:w="474" w:type="pct"/>
                  <w:tcBorders>
                    <w:tl2br w:val="nil"/>
                    <w:tr2bl w:val="nil"/>
                  </w:tcBorders>
                  <w:noWrap w:val="0"/>
                  <w:vAlign w:val="center"/>
                </w:tcPr>
                <w:p>
                  <w:pPr>
                    <w:pStyle w:val="28"/>
                    <w:bidi w:val="0"/>
                    <w:ind w:left="0" w:leftChars="0" w:right="0" w:rightChars="0" w:firstLine="0" w:firstLineChars="0"/>
                    <w:jc w:val="center"/>
                    <w:rPr>
                      <w:color w:val="auto"/>
                      <w:lang w:val="en-US" w:eastAsia="zh-CN"/>
                    </w:rPr>
                  </w:pPr>
                  <w:r>
                    <w:rPr>
                      <w:rFonts w:hint="default"/>
                      <w:color w:val="auto"/>
                      <w:lang w:val="en-US" w:eastAsia="zh-CN"/>
                    </w:rPr>
                    <w:t>HW49</w:t>
                  </w:r>
                </w:p>
              </w:tc>
              <w:tc>
                <w:tcPr>
                  <w:tcW w:w="806" w:type="pct"/>
                  <w:tcBorders>
                    <w:tl2br w:val="nil"/>
                    <w:tr2bl w:val="nil"/>
                  </w:tcBorders>
                  <w:noWrap w:val="0"/>
                  <w:vAlign w:val="center"/>
                </w:tcPr>
                <w:p>
                  <w:pPr>
                    <w:pStyle w:val="28"/>
                    <w:bidi w:val="0"/>
                    <w:ind w:left="0" w:leftChars="0" w:right="0" w:rightChars="0" w:firstLine="0" w:firstLineChars="0"/>
                    <w:jc w:val="center"/>
                    <w:rPr>
                      <w:color w:val="auto"/>
                      <w:lang w:val="en-US" w:eastAsia="zh-CN"/>
                    </w:rPr>
                  </w:pPr>
                  <w:r>
                    <w:rPr>
                      <w:rFonts w:hint="default"/>
                      <w:color w:val="auto"/>
                      <w:lang w:val="en-US" w:eastAsia="zh-CN"/>
                    </w:rPr>
                    <w:t>900-047-49</w:t>
                  </w:r>
                </w:p>
              </w:tc>
              <w:tc>
                <w:tcPr>
                  <w:tcW w:w="420"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0.03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3</w:t>
                  </w:r>
                </w:p>
              </w:tc>
              <w:tc>
                <w:tcPr>
                  <w:tcW w:w="245"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生</w:t>
                  </w:r>
                  <w:r>
                    <w:rPr>
                      <w:rFonts w:hint="default"/>
                      <w:color w:val="auto"/>
                      <w:lang w:val="en-US" w:eastAsia="zh-CN"/>
                    </w:rPr>
                    <w:t>活</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垃圾</w:t>
                  </w:r>
                </w:p>
              </w:tc>
              <w:tc>
                <w:tcPr>
                  <w:tcW w:w="316"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生</w:t>
                  </w:r>
                  <w:r>
                    <w:rPr>
                      <w:rFonts w:hint="default"/>
                      <w:color w:val="auto"/>
                      <w:lang w:val="en-US" w:eastAsia="zh-CN"/>
                    </w:rPr>
                    <w:t>活</w:t>
                  </w:r>
                </w:p>
                <w:p>
                  <w:pPr>
                    <w:pStyle w:val="28"/>
                    <w:bidi w:val="0"/>
                    <w:ind w:left="0" w:leftChars="0" w:right="0" w:rightChars="0" w:firstLine="0" w:firstLineChars="0"/>
                    <w:jc w:val="center"/>
                    <w:rPr>
                      <w:rFonts w:eastAsia="宋体" w:asciiTheme="minorAscii" w:hAnsiTheme="minorAscii" w:cstheme="minorBidi"/>
                      <w:color w:val="auto"/>
                      <w:sz w:val="21"/>
                      <w:lang w:val="en-US" w:eastAsia="zh-CN"/>
                    </w:rPr>
                  </w:pPr>
                  <w:r>
                    <w:rPr>
                      <w:rFonts w:hint="default"/>
                      <w:color w:val="auto"/>
                      <w:lang w:val="en-US" w:eastAsia="zh-CN"/>
                    </w:rPr>
                    <w:t>垃圾</w:t>
                  </w:r>
                </w:p>
              </w:tc>
              <w:tc>
                <w:tcPr>
                  <w:tcW w:w="324"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师</w:t>
                  </w:r>
                  <w:r>
                    <w:rPr>
                      <w:rFonts w:hint="default"/>
                      <w:color w:val="auto"/>
                      <w:lang w:val="en-US" w:eastAsia="zh-CN"/>
                    </w:rPr>
                    <w:t>生</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生活</w:t>
                  </w:r>
                </w:p>
              </w:tc>
              <w:tc>
                <w:tcPr>
                  <w:tcW w:w="388"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固</w:t>
                  </w:r>
                </w:p>
                <w:p>
                  <w:pPr>
                    <w:pStyle w:val="28"/>
                    <w:bidi w:val="0"/>
                    <w:ind w:left="0" w:leftChars="0" w:right="0" w:rightChars="0" w:firstLine="0" w:firstLineChars="0"/>
                    <w:jc w:val="center"/>
                    <w:rPr>
                      <w:color w:val="auto"/>
                    </w:rPr>
                  </w:pPr>
                  <w:r>
                    <w:rPr>
                      <w:rFonts w:hint="default"/>
                      <w:color w:val="auto"/>
                      <w:lang w:val="en-US" w:eastAsia="zh-CN"/>
                    </w:rPr>
                    <w:t>、</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液</w:t>
                  </w:r>
                </w:p>
              </w:tc>
              <w:tc>
                <w:tcPr>
                  <w:tcW w:w="472"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废弃食</w:t>
                  </w:r>
                  <w:r>
                    <w:rPr>
                      <w:rFonts w:hint="default"/>
                      <w:color w:val="auto"/>
                      <w:lang w:val="en-US" w:eastAsia="zh-CN"/>
                    </w:rPr>
                    <w:t>品类、</w:t>
                  </w:r>
                </w:p>
                <w:p>
                  <w:pPr>
                    <w:pStyle w:val="28"/>
                    <w:bidi w:val="0"/>
                    <w:ind w:left="0" w:leftChars="0" w:right="0" w:rightChars="0" w:firstLine="0" w:firstLineChars="0"/>
                    <w:jc w:val="center"/>
                    <w:rPr>
                      <w:rFonts w:hint="default"/>
                      <w:color w:val="auto"/>
                      <w:lang w:val="en-US" w:eastAsia="zh-CN"/>
                    </w:rPr>
                  </w:pPr>
                  <w:r>
                    <w:rPr>
                      <w:rFonts w:hint="default"/>
                      <w:color w:val="auto"/>
                      <w:lang w:val="en-US" w:eastAsia="zh-CN"/>
                    </w:rPr>
                    <w:t>废包</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袋等</w:t>
                  </w:r>
                </w:p>
              </w:tc>
              <w:tc>
                <w:tcPr>
                  <w:tcW w:w="823"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496"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474"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806" w:type="pct"/>
                  <w:tcBorders>
                    <w:tl2br w:val="nil"/>
                    <w:tr2bl w:val="nil"/>
                  </w:tcBorders>
                  <w:noWrap w:val="0"/>
                  <w:vAlign w:val="center"/>
                </w:tcPr>
                <w:p>
                  <w:pPr>
                    <w:pStyle w:val="28"/>
                    <w:keepNext/>
                    <w:keepLines/>
                    <w:pageBreakBefore w:val="0"/>
                    <w:bidi w:val="0"/>
                    <w:rPr>
                      <w:rFonts w:hint="default" w:eastAsia="宋体" w:asciiTheme="minorAscii" w:hAnsiTheme="minorAscii" w:cstheme="minorBidi"/>
                      <w:color w:val="auto"/>
                      <w:sz w:val="21"/>
                      <w:lang w:val="en-US" w:eastAsia="zh-CN"/>
                    </w:rPr>
                  </w:pPr>
                  <w:r>
                    <w:rPr>
                      <w:rFonts w:hint="default"/>
                      <w:color w:val="auto"/>
                      <w:lang w:val="en-US" w:eastAsia="zh-CN" w:bidi="ar-SA"/>
                    </w:rPr>
                    <w:t>900-999-99</w:t>
                  </w:r>
                </w:p>
              </w:tc>
              <w:tc>
                <w:tcPr>
                  <w:tcW w:w="420"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396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1"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rFonts w:hint="eastAsia"/>
                      <w:color w:val="auto"/>
                      <w:lang w:val="en-US" w:eastAsia="zh-CN"/>
                    </w:rPr>
                    <w:t>4</w:t>
                  </w:r>
                </w:p>
              </w:tc>
              <w:tc>
                <w:tcPr>
                  <w:tcW w:w="245"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离子交换树脂</w:t>
                  </w:r>
                </w:p>
              </w:tc>
              <w:tc>
                <w:tcPr>
                  <w:tcW w:w="316" w:type="pct"/>
                  <w:tcBorders>
                    <w:tl2br w:val="nil"/>
                    <w:tr2bl w:val="nil"/>
                  </w:tcBorders>
                  <w:noWrap w:val="0"/>
                  <w:vAlign w:val="center"/>
                </w:tcPr>
                <w:p>
                  <w:pPr>
                    <w:pStyle w:val="28"/>
                    <w:bidi w:val="0"/>
                    <w:ind w:left="0" w:leftChars="0" w:right="0" w:rightChars="0" w:firstLine="0" w:firstLineChars="0"/>
                    <w:jc w:val="center"/>
                    <w:rPr>
                      <w:color w:val="auto"/>
                    </w:rPr>
                  </w:pPr>
                  <w:r>
                    <w:rPr>
                      <w:color w:val="auto"/>
                      <w:lang w:val="en-US" w:eastAsia="zh-CN"/>
                    </w:rPr>
                    <w:t>一</w:t>
                  </w:r>
                  <w:r>
                    <w:rPr>
                      <w:rFonts w:hint="default"/>
                      <w:color w:val="auto"/>
                      <w:lang w:val="en-US" w:eastAsia="zh-CN"/>
                    </w:rPr>
                    <w:t>般</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固废</w:t>
                  </w:r>
                </w:p>
              </w:tc>
              <w:tc>
                <w:tcPr>
                  <w:tcW w:w="324"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锅炉房</w:t>
                  </w:r>
                </w:p>
              </w:tc>
              <w:tc>
                <w:tcPr>
                  <w:tcW w:w="388"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固</w:t>
                  </w:r>
                </w:p>
              </w:tc>
              <w:tc>
                <w:tcPr>
                  <w:tcW w:w="472"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树脂</w:t>
                  </w:r>
                </w:p>
              </w:tc>
              <w:tc>
                <w:tcPr>
                  <w:tcW w:w="823"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rPr>
                  </w:pPr>
                  <w:r>
                    <w:rPr>
                      <w:color w:val="auto"/>
                      <w:lang w:val="en-US" w:eastAsia="zh-CN"/>
                    </w:rPr>
                    <w:t>《</w:t>
                  </w:r>
                  <w:r>
                    <w:rPr>
                      <w:rFonts w:hint="default"/>
                      <w:color w:val="auto"/>
                      <w:lang w:val="en-US" w:eastAsia="zh-CN"/>
                    </w:rPr>
                    <w:t>一般固体废物分类与 代码》（GB/T</w:t>
                  </w:r>
                </w:p>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default"/>
                      <w:color w:val="auto"/>
                      <w:lang w:val="en-US" w:eastAsia="zh-CN"/>
                    </w:rPr>
                    <w:t>39198-2020）</w:t>
                  </w:r>
                </w:p>
              </w:tc>
              <w:tc>
                <w:tcPr>
                  <w:tcW w:w="496"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474"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806"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w:t>
                  </w:r>
                </w:p>
              </w:tc>
              <w:tc>
                <w:tcPr>
                  <w:tcW w:w="420" w:type="pct"/>
                  <w:tcBorders>
                    <w:tl2br w:val="nil"/>
                    <w:tr2bl w:val="nil"/>
                  </w:tcBorders>
                  <w:noWrap w:val="0"/>
                  <w:vAlign w:val="center"/>
                </w:tcPr>
                <w:p>
                  <w:pPr>
                    <w:pStyle w:val="28"/>
                    <w:bidi w:val="0"/>
                    <w:ind w:left="0" w:leftChars="0" w:right="0" w:rightChars="0" w:firstLine="0" w:firstLineChars="0"/>
                    <w:jc w:val="center"/>
                    <w:rPr>
                      <w:rFonts w:hint="default" w:eastAsia="宋体" w:asciiTheme="minorAscii" w:hAnsiTheme="minorAscii" w:cstheme="minorBidi"/>
                      <w:color w:val="auto"/>
                      <w:sz w:val="21"/>
                      <w:lang w:val="en-US" w:eastAsia="zh-CN"/>
                    </w:rPr>
                  </w:pPr>
                  <w:r>
                    <w:rPr>
                      <w:rFonts w:hint="eastAsia"/>
                      <w:color w:val="auto"/>
                      <w:lang w:val="en-US" w:eastAsia="zh-CN"/>
                    </w:rPr>
                    <w:t>0.1</w:t>
                  </w:r>
                </w:p>
              </w:tc>
            </w:tr>
          </w:tbl>
          <w:p>
            <w:pPr>
              <w:pStyle w:val="27"/>
              <w:bidi w:val="0"/>
              <w:rPr>
                <w:color w:val="auto"/>
                <w:lang w:val="en-US" w:eastAsia="zh-CN"/>
              </w:rPr>
            </w:pPr>
          </w:p>
          <w:p>
            <w:pPr>
              <w:pStyle w:val="27"/>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表 4-1</w:t>
            </w:r>
            <w:r>
              <w:rPr>
                <w:rFonts w:hint="eastAsia"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lang w:val="en-US" w:eastAsia="zh-CN"/>
              </w:rPr>
              <w:t xml:space="preserve"> 本项目固体废物利用处置方式评价表</w:t>
            </w:r>
          </w:p>
          <w:tbl>
            <w:tblPr>
              <w:tblStyle w:val="22"/>
              <w:tblW w:w="4996" w:type="pct"/>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0"/>
              <w:gridCol w:w="938"/>
              <w:gridCol w:w="976"/>
              <w:gridCol w:w="905"/>
              <w:gridCol w:w="726"/>
              <w:gridCol w:w="1311"/>
              <w:gridCol w:w="793"/>
              <w:gridCol w:w="17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2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序号</w:t>
                  </w:r>
                </w:p>
              </w:tc>
              <w:tc>
                <w:tcPr>
                  <w:tcW w:w="592"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固体废物名称</w:t>
                  </w:r>
                </w:p>
              </w:tc>
              <w:tc>
                <w:tcPr>
                  <w:tcW w:w="616"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color w:val="auto"/>
                      <w:lang w:val="en-US" w:eastAsia="zh-CN" w:bidi="ar-SA"/>
                    </w:rPr>
                    <w:t>产</w:t>
                  </w:r>
                  <w:r>
                    <w:rPr>
                      <w:rFonts w:hint="default"/>
                      <w:color w:val="auto"/>
                      <w:lang w:val="en-US" w:eastAsia="zh-CN" w:bidi="ar-SA"/>
                    </w:rPr>
                    <w:t>生</w:t>
                  </w:r>
                </w:p>
                <w:p>
                  <w:pPr>
                    <w:pStyle w:val="28"/>
                    <w:keepNext/>
                    <w:keepLines/>
                    <w:pageBreakBefore w:val="0"/>
                    <w:bidi w:val="0"/>
                    <w:rPr>
                      <w:rFonts w:hint="eastAsia"/>
                      <w:color w:val="auto"/>
                      <w:lang w:val="en-US" w:eastAsia="zh-CN" w:bidi="ar-SA"/>
                    </w:rPr>
                  </w:pPr>
                  <w:r>
                    <w:rPr>
                      <w:rFonts w:hint="default"/>
                      <w:color w:val="auto"/>
                      <w:lang w:val="en-US" w:eastAsia="zh-CN" w:bidi="ar-SA"/>
                    </w:rPr>
                    <w:t>工序</w:t>
                  </w:r>
                </w:p>
              </w:tc>
              <w:tc>
                <w:tcPr>
                  <w:tcW w:w="571"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固废</w:t>
                  </w:r>
                  <w:r>
                    <w:rPr>
                      <w:rFonts w:hint="default"/>
                      <w:color w:val="auto"/>
                      <w:lang w:val="en-US" w:eastAsia="zh-CN" w:bidi="ar-SA"/>
                    </w:rPr>
                    <w:t>属性</w:t>
                  </w:r>
                </w:p>
              </w:tc>
              <w:tc>
                <w:tcPr>
                  <w:tcW w:w="458"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废</w:t>
                  </w:r>
                  <w:r>
                    <w:rPr>
                      <w:rFonts w:hint="default"/>
                      <w:color w:val="auto"/>
                      <w:lang w:val="en-US" w:eastAsia="zh-CN" w:bidi="ar-SA"/>
                    </w:rPr>
                    <w:t>物</w:t>
                  </w:r>
                </w:p>
                <w:p>
                  <w:pPr>
                    <w:pStyle w:val="28"/>
                    <w:keepNext/>
                    <w:keepLines/>
                    <w:pageBreakBefore w:val="0"/>
                    <w:bidi w:val="0"/>
                    <w:rPr>
                      <w:rFonts w:hint="eastAsia"/>
                      <w:color w:val="auto"/>
                      <w:lang w:val="en-US" w:eastAsia="zh-CN" w:bidi="ar-SA"/>
                    </w:rPr>
                  </w:pPr>
                  <w:r>
                    <w:rPr>
                      <w:rFonts w:hint="default"/>
                      <w:color w:val="auto"/>
                      <w:lang w:val="en-US" w:eastAsia="zh-CN" w:bidi="ar-SA"/>
                    </w:rPr>
                    <w:t>类别</w:t>
                  </w:r>
                </w:p>
              </w:tc>
              <w:tc>
                <w:tcPr>
                  <w:tcW w:w="828"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废物</w:t>
                  </w:r>
                </w:p>
                <w:p>
                  <w:pPr>
                    <w:pStyle w:val="28"/>
                    <w:keepNext/>
                    <w:keepLines/>
                    <w:pageBreakBefore w:val="0"/>
                    <w:bidi w:val="0"/>
                    <w:rPr>
                      <w:rFonts w:hint="eastAsia"/>
                      <w:color w:val="auto"/>
                      <w:lang w:val="en-US" w:eastAsia="zh-CN" w:bidi="ar-SA"/>
                    </w:rPr>
                  </w:pPr>
                  <w:r>
                    <w:rPr>
                      <w:color w:val="auto"/>
                      <w:lang w:val="en-US" w:eastAsia="zh-CN" w:bidi="ar-SA"/>
                    </w:rPr>
                    <w:t>代码</w:t>
                  </w:r>
                </w:p>
              </w:tc>
              <w:tc>
                <w:tcPr>
                  <w:tcW w:w="501"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产</w:t>
                  </w:r>
                  <w:r>
                    <w:rPr>
                      <w:rFonts w:hint="default"/>
                      <w:color w:val="auto"/>
                      <w:lang w:val="en-US" w:eastAsia="zh-CN" w:bidi="ar-SA"/>
                    </w:rPr>
                    <w:t>生量</w:t>
                  </w:r>
                </w:p>
                <w:p>
                  <w:pPr>
                    <w:pStyle w:val="28"/>
                    <w:keepNext/>
                    <w:keepLines/>
                    <w:pageBreakBefore w:val="0"/>
                    <w:bidi w:val="0"/>
                    <w:rPr>
                      <w:rFonts w:hint="eastAsia"/>
                      <w:color w:val="auto"/>
                      <w:lang w:val="en-US" w:eastAsia="zh-CN" w:bidi="ar-SA"/>
                    </w:rPr>
                  </w:pPr>
                  <w:r>
                    <w:rPr>
                      <w:rFonts w:hint="default"/>
                      <w:color w:val="auto"/>
                      <w:lang w:val="en-US" w:eastAsia="zh-CN" w:bidi="ar-SA"/>
                    </w:rPr>
                    <w:t>（t/a）</w:t>
                  </w:r>
                </w:p>
              </w:tc>
              <w:tc>
                <w:tcPr>
                  <w:tcW w:w="1101"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拟</w:t>
                  </w:r>
                  <w:r>
                    <w:rPr>
                      <w:rFonts w:hint="default"/>
                      <w:color w:val="auto"/>
                      <w:lang w:val="en-US" w:eastAsia="zh-CN" w:bidi="ar-SA"/>
                    </w:rPr>
                    <w:t>采取的处理处置方式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228" w:hRule="atLeast"/>
              </w:trPr>
              <w:tc>
                <w:tcPr>
                  <w:tcW w:w="328" w:type="pct"/>
                  <w:vMerge w:val="restar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1</w:t>
                  </w:r>
                </w:p>
              </w:tc>
              <w:tc>
                <w:tcPr>
                  <w:tcW w:w="592" w:type="pct"/>
                  <w:vMerge w:val="restar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实验一般固废</w:t>
                  </w:r>
                </w:p>
              </w:tc>
              <w:tc>
                <w:tcPr>
                  <w:tcW w:w="616" w:type="pct"/>
                  <w:vMerge w:val="restar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实验</w:t>
                  </w:r>
                  <w:r>
                    <w:rPr>
                      <w:rFonts w:hint="default"/>
                      <w:color w:val="auto"/>
                      <w:lang w:val="en-US" w:eastAsia="zh-CN" w:bidi="ar-SA"/>
                    </w:rPr>
                    <w:t>授课</w:t>
                  </w:r>
                </w:p>
              </w:tc>
              <w:tc>
                <w:tcPr>
                  <w:tcW w:w="571" w:type="pct"/>
                  <w:vMerge w:val="restar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一</w:t>
                  </w:r>
                  <w:r>
                    <w:rPr>
                      <w:rFonts w:hint="default"/>
                      <w:color w:val="auto"/>
                      <w:lang w:val="en-US" w:eastAsia="zh-CN" w:bidi="ar-SA"/>
                    </w:rPr>
                    <w:t>般</w:t>
                  </w:r>
                </w:p>
                <w:p>
                  <w:pPr>
                    <w:pStyle w:val="28"/>
                    <w:keepNext/>
                    <w:keepLines/>
                    <w:pageBreakBefore w:val="0"/>
                    <w:bidi w:val="0"/>
                    <w:rPr>
                      <w:rFonts w:hint="eastAsia"/>
                      <w:color w:val="auto"/>
                      <w:lang w:val="en-US" w:eastAsia="zh-CN" w:bidi="ar-SA"/>
                    </w:rPr>
                  </w:pPr>
                  <w:r>
                    <w:rPr>
                      <w:rFonts w:hint="default"/>
                      <w:color w:val="auto"/>
                      <w:lang w:val="en-US" w:eastAsia="zh-CN" w:bidi="ar-SA"/>
                    </w:rPr>
                    <w:t>固废</w:t>
                  </w:r>
                </w:p>
              </w:tc>
              <w:tc>
                <w:tcPr>
                  <w:tcW w:w="45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Ⅰ类</w:t>
                  </w:r>
                </w:p>
              </w:tc>
              <w:tc>
                <w:tcPr>
                  <w:tcW w:w="828"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default"/>
                      <w:color w:val="auto"/>
                      <w:lang w:val="en-US" w:eastAsia="zh-CN" w:bidi="ar-SA"/>
                    </w:rPr>
                    <w:t>300-001-08</w:t>
                  </w:r>
                </w:p>
                <w:p>
                  <w:pPr>
                    <w:pStyle w:val="28"/>
                    <w:keepNext/>
                    <w:keepLines/>
                    <w:pageBreakBefore w:val="0"/>
                    <w:bidi w:val="0"/>
                    <w:rPr>
                      <w:rFonts w:hint="eastAsia" w:eastAsia="宋体" w:asciiTheme="minorAscii" w:hAnsiTheme="minorAscii" w:cstheme="minorBidi"/>
                      <w:color w:val="auto"/>
                      <w:sz w:val="21"/>
                      <w:lang w:val="en-US" w:eastAsia="zh-CN" w:bidi="ar-SA"/>
                    </w:rPr>
                  </w:pPr>
                  <w:r>
                    <w:rPr>
                      <w:color w:val="auto"/>
                      <w:lang w:val="en-US" w:eastAsia="zh-CN" w:bidi="ar-SA"/>
                    </w:rPr>
                    <w:t>（废</w:t>
                  </w:r>
                  <w:r>
                    <w:rPr>
                      <w:rFonts w:hint="default"/>
                      <w:color w:val="auto"/>
                      <w:lang w:val="en-US" w:eastAsia="zh-CN" w:bidi="ar-SA"/>
                    </w:rPr>
                    <w:t>玻璃）</w:t>
                  </w:r>
                </w:p>
              </w:tc>
              <w:tc>
                <w:tcPr>
                  <w:tcW w:w="501"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0.015</w:t>
                  </w:r>
                </w:p>
              </w:tc>
              <w:tc>
                <w:tcPr>
                  <w:tcW w:w="1101"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交环卫部门处理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28" w:type="pct"/>
                  <w:vMerge w:val="continue"/>
                  <w:tcBorders>
                    <w:tl2br w:val="nil"/>
                    <w:tr2bl w:val="nil"/>
                  </w:tcBorders>
                  <w:noWrap w:val="0"/>
                  <w:vAlign w:val="center"/>
                </w:tcPr>
                <w:p>
                  <w:pPr>
                    <w:pStyle w:val="28"/>
                    <w:keepNext/>
                    <w:keepLines/>
                    <w:pageBreakBefore w:val="0"/>
                    <w:bidi w:val="0"/>
                    <w:rPr>
                      <w:color w:val="auto"/>
                      <w:lang w:val="en-US" w:eastAsia="zh-CN" w:bidi="ar-SA"/>
                    </w:rPr>
                  </w:pPr>
                </w:p>
              </w:tc>
              <w:tc>
                <w:tcPr>
                  <w:tcW w:w="592" w:type="pct"/>
                  <w:vMerge w:val="continue"/>
                  <w:tcBorders>
                    <w:tl2br w:val="nil"/>
                    <w:tr2bl w:val="nil"/>
                  </w:tcBorders>
                  <w:noWrap w:val="0"/>
                  <w:vAlign w:val="center"/>
                </w:tcPr>
                <w:p>
                  <w:pPr>
                    <w:pStyle w:val="28"/>
                    <w:keepNext/>
                    <w:keepLines/>
                    <w:pageBreakBefore w:val="0"/>
                    <w:bidi w:val="0"/>
                    <w:rPr>
                      <w:color w:val="auto"/>
                      <w:lang w:val="en-US" w:eastAsia="zh-CN" w:bidi="ar-SA"/>
                    </w:rPr>
                  </w:pPr>
                </w:p>
              </w:tc>
              <w:tc>
                <w:tcPr>
                  <w:tcW w:w="616" w:type="pct"/>
                  <w:vMerge w:val="continue"/>
                  <w:tcBorders>
                    <w:tl2br w:val="nil"/>
                    <w:tr2bl w:val="nil"/>
                  </w:tcBorders>
                  <w:noWrap w:val="0"/>
                  <w:vAlign w:val="center"/>
                </w:tcPr>
                <w:p>
                  <w:pPr>
                    <w:pStyle w:val="28"/>
                    <w:keepNext/>
                    <w:keepLines/>
                    <w:pageBreakBefore w:val="0"/>
                    <w:bidi w:val="0"/>
                    <w:rPr>
                      <w:color w:val="auto"/>
                      <w:lang w:val="en-US" w:eastAsia="zh-CN" w:bidi="ar-SA"/>
                    </w:rPr>
                  </w:pPr>
                </w:p>
              </w:tc>
              <w:tc>
                <w:tcPr>
                  <w:tcW w:w="571" w:type="pct"/>
                  <w:vMerge w:val="continue"/>
                  <w:tcBorders>
                    <w:tl2br w:val="nil"/>
                    <w:tr2bl w:val="nil"/>
                  </w:tcBorders>
                  <w:noWrap w:val="0"/>
                  <w:vAlign w:val="center"/>
                </w:tcPr>
                <w:p>
                  <w:pPr>
                    <w:pStyle w:val="28"/>
                    <w:keepNext/>
                    <w:keepLines/>
                    <w:pageBreakBefore w:val="0"/>
                    <w:bidi w:val="0"/>
                    <w:rPr>
                      <w:color w:val="auto"/>
                      <w:lang w:val="en-US" w:eastAsia="zh-CN" w:bidi="ar-SA"/>
                    </w:rPr>
                  </w:pPr>
                </w:p>
              </w:tc>
              <w:tc>
                <w:tcPr>
                  <w:tcW w:w="458"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eastAsia"/>
                      <w:color w:val="auto"/>
                      <w:lang w:val="en-US" w:eastAsia="zh-CN" w:bidi="ar-SA"/>
                    </w:rPr>
                    <w:t>Ⅰ类</w:t>
                  </w:r>
                </w:p>
              </w:tc>
              <w:tc>
                <w:tcPr>
                  <w:tcW w:w="828" w:type="pct"/>
                  <w:tcBorders>
                    <w:tl2br w:val="nil"/>
                    <w:tr2bl w:val="nil"/>
                  </w:tcBorders>
                  <w:noWrap w:val="0"/>
                  <w:vAlign w:val="center"/>
                </w:tcPr>
                <w:p>
                  <w:pPr>
                    <w:pStyle w:val="28"/>
                    <w:keepNext/>
                    <w:keepLines/>
                    <w:pageBreakBefore w:val="0"/>
                    <w:bidi w:val="0"/>
                    <w:rPr>
                      <w:color w:val="auto"/>
                      <w:lang w:val="en-US" w:eastAsia="zh-CN" w:bidi="ar-SA"/>
                    </w:rPr>
                  </w:pPr>
                  <w:r>
                    <w:rPr>
                      <w:rFonts w:hint="eastAsia"/>
                      <w:color w:val="auto"/>
                      <w:lang w:val="en-US" w:eastAsia="zh-CN" w:bidi="ar-SA"/>
                    </w:rPr>
                    <w:t>223-001-07（废复合包装）</w:t>
                  </w:r>
                </w:p>
              </w:tc>
              <w:tc>
                <w:tcPr>
                  <w:tcW w:w="501" w:type="pct"/>
                  <w:tcBorders>
                    <w:tl2br w:val="nil"/>
                    <w:tr2bl w:val="nil"/>
                  </w:tcBorders>
                  <w:noWrap w:val="0"/>
                  <w:vAlign w:val="center"/>
                </w:tcPr>
                <w:p>
                  <w:pPr>
                    <w:pStyle w:val="28"/>
                    <w:bidi w:val="0"/>
                    <w:ind w:left="0" w:leftChars="0" w:right="0" w:rightChars="0" w:firstLine="0" w:firstLineChars="0"/>
                    <w:jc w:val="center"/>
                    <w:rPr>
                      <w:rFonts w:hint="default"/>
                      <w:color w:val="auto"/>
                      <w:lang w:val="en-US" w:eastAsia="zh-CN" w:bidi="ar-SA"/>
                    </w:rPr>
                  </w:pPr>
                  <w:r>
                    <w:rPr>
                      <w:rFonts w:hint="eastAsia"/>
                      <w:color w:val="auto"/>
                      <w:lang w:val="en-US" w:eastAsia="zh-CN" w:bidi="ar-SA"/>
                    </w:rPr>
                    <w:t>0.04</w:t>
                  </w:r>
                </w:p>
              </w:tc>
              <w:tc>
                <w:tcPr>
                  <w:tcW w:w="1101"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eastAsia"/>
                      <w:color w:val="auto"/>
                      <w:lang w:val="en-US" w:eastAsia="zh-CN" w:bidi="ar-SA"/>
                    </w:rPr>
                    <w:t>回收给资源回收单位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2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2</w:t>
                  </w:r>
                </w:p>
              </w:tc>
              <w:tc>
                <w:tcPr>
                  <w:tcW w:w="592"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生活</w:t>
                  </w:r>
                </w:p>
                <w:p>
                  <w:pPr>
                    <w:pStyle w:val="28"/>
                    <w:keepNext/>
                    <w:keepLines/>
                    <w:pageBreakBefore w:val="0"/>
                    <w:bidi w:val="0"/>
                    <w:rPr>
                      <w:rFonts w:hint="eastAsia"/>
                      <w:color w:val="auto"/>
                      <w:lang w:val="en-US" w:eastAsia="zh-CN" w:bidi="ar-SA"/>
                    </w:rPr>
                  </w:pPr>
                  <w:r>
                    <w:rPr>
                      <w:color w:val="auto"/>
                      <w:lang w:val="en-US" w:eastAsia="zh-CN" w:bidi="ar-SA"/>
                    </w:rPr>
                    <w:t>垃圾</w:t>
                  </w:r>
                </w:p>
              </w:tc>
              <w:tc>
                <w:tcPr>
                  <w:tcW w:w="616"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师生</w:t>
                  </w:r>
                  <w:r>
                    <w:rPr>
                      <w:rFonts w:hint="default"/>
                      <w:color w:val="auto"/>
                      <w:lang w:val="en-US" w:eastAsia="zh-CN" w:bidi="ar-SA"/>
                    </w:rPr>
                    <w:t>生活</w:t>
                  </w:r>
                </w:p>
              </w:tc>
              <w:tc>
                <w:tcPr>
                  <w:tcW w:w="571"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生活</w:t>
                  </w:r>
                </w:p>
                <w:p>
                  <w:pPr>
                    <w:pStyle w:val="28"/>
                    <w:keepNext/>
                    <w:keepLines/>
                    <w:pageBreakBefore w:val="0"/>
                    <w:bidi w:val="0"/>
                    <w:rPr>
                      <w:rFonts w:hint="eastAsia"/>
                      <w:color w:val="auto"/>
                      <w:lang w:val="en-US" w:eastAsia="zh-CN" w:bidi="ar-SA"/>
                    </w:rPr>
                  </w:pPr>
                  <w:r>
                    <w:rPr>
                      <w:rFonts w:hint="default"/>
                      <w:color w:val="auto"/>
                      <w:lang w:val="en-US" w:eastAsia="zh-CN" w:bidi="ar-SA"/>
                    </w:rPr>
                    <w:t>垃圾</w:t>
                  </w:r>
                </w:p>
              </w:tc>
              <w:tc>
                <w:tcPr>
                  <w:tcW w:w="45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w:t>
                  </w:r>
                </w:p>
              </w:tc>
              <w:tc>
                <w:tcPr>
                  <w:tcW w:w="82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w:t>
                  </w:r>
                </w:p>
              </w:tc>
              <w:tc>
                <w:tcPr>
                  <w:tcW w:w="501"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eastAsia"/>
                      <w:color w:val="auto"/>
                      <w:lang w:val="en-US" w:eastAsia="zh-CN" w:bidi="ar-SA"/>
                    </w:rPr>
                    <w:t>396</w:t>
                  </w:r>
                </w:p>
              </w:tc>
              <w:tc>
                <w:tcPr>
                  <w:tcW w:w="1101"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交环卫部门处理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28" w:type="pct"/>
                  <w:tcBorders>
                    <w:tl2br w:val="nil"/>
                    <w:tr2bl w:val="nil"/>
                  </w:tcBorders>
                  <w:noWrap w:val="0"/>
                  <w:vAlign w:val="center"/>
                </w:tcPr>
                <w:p>
                  <w:pPr>
                    <w:pStyle w:val="28"/>
                    <w:keepNext/>
                    <w:keepLines/>
                    <w:pageBreakBefore w:val="0"/>
                    <w:bidi w:val="0"/>
                    <w:rPr>
                      <w:rFonts w:hint="eastAsia" w:eastAsia="宋体" w:asciiTheme="minorAscii" w:hAnsiTheme="minorAscii" w:cstheme="minorBidi"/>
                      <w:color w:val="auto"/>
                      <w:sz w:val="21"/>
                      <w:lang w:val="en-US" w:eastAsia="zh-CN" w:bidi="ar-SA"/>
                    </w:rPr>
                  </w:pPr>
                  <w:r>
                    <w:rPr>
                      <w:rFonts w:hint="eastAsia"/>
                      <w:color w:val="auto"/>
                      <w:lang w:val="en-US" w:eastAsia="zh-CN" w:bidi="ar-SA"/>
                    </w:rPr>
                    <w:t>3</w:t>
                  </w:r>
                </w:p>
              </w:tc>
              <w:tc>
                <w:tcPr>
                  <w:tcW w:w="592" w:type="pct"/>
                  <w:tcBorders>
                    <w:tl2br w:val="nil"/>
                    <w:tr2bl w:val="nil"/>
                  </w:tcBorders>
                  <w:noWrap w:val="0"/>
                  <w:vAlign w:val="center"/>
                </w:tcPr>
                <w:p>
                  <w:pPr>
                    <w:pStyle w:val="28"/>
                    <w:keepNext/>
                    <w:keepLines/>
                    <w:pageBreakBefore w:val="0"/>
                    <w:bidi w:val="0"/>
                    <w:rPr>
                      <w:color w:val="auto"/>
                      <w:lang w:val="en-US" w:eastAsia="zh-CN" w:bidi="ar-SA"/>
                    </w:rPr>
                  </w:pPr>
                  <w:r>
                    <w:rPr>
                      <w:rFonts w:hint="eastAsia"/>
                      <w:color w:val="auto"/>
                      <w:lang w:val="en-US" w:eastAsia="zh-CN" w:bidi="ar-SA"/>
                    </w:rPr>
                    <w:t>离子交换树脂</w:t>
                  </w:r>
                </w:p>
              </w:tc>
              <w:tc>
                <w:tcPr>
                  <w:tcW w:w="616" w:type="pct"/>
                  <w:tcBorders>
                    <w:tl2br w:val="nil"/>
                    <w:tr2bl w:val="nil"/>
                  </w:tcBorders>
                  <w:noWrap w:val="0"/>
                  <w:vAlign w:val="center"/>
                </w:tcPr>
                <w:p>
                  <w:pPr>
                    <w:pStyle w:val="28"/>
                    <w:keepNext/>
                    <w:keepLines/>
                    <w:pageBreakBefore w:val="0"/>
                    <w:bidi w:val="0"/>
                    <w:rPr>
                      <w:color w:val="auto"/>
                      <w:lang w:val="en-US" w:eastAsia="zh-CN" w:bidi="ar-SA"/>
                    </w:rPr>
                  </w:pPr>
                  <w:r>
                    <w:rPr>
                      <w:rFonts w:hint="eastAsia"/>
                      <w:color w:val="auto"/>
                      <w:lang w:val="en-US" w:eastAsia="zh-CN" w:bidi="ar-SA"/>
                    </w:rPr>
                    <w:t>锅炉房</w:t>
                  </w:r>
                </w:p>
              </w:tc>
              <w:tc>
                <w:tcPr>
                  <w:tcW w:w="571"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一</w:t>
                  </w:r>
                  <w:r>
                    <w:rPr>
                      <w:rFonts w:hint="default"/>
                      <w:color w:val="auto"/>
                      <w:lang w:val="en-US" w:eastAsia="zh-CN" w:bidi="ar-SA"/>
                    </w:rPr>
                    <w:t>般</w:t>
                  </w:r>
                </w:p>
                <w:p>
                  <w:pPr>
                    <w:pStyle w:val="28"/>
                    <w:keepNext/>
                    <w:keepLines/>
                    <w:pageBreakBefore w:val="0"/>
                    <w:bidi w:val="0"/>
                    <w:rPr>
                      <w:rFonts w:hint="default"/>
                      <w:color w:val="auto"/>
                      <w:lang w:val="en-US" w:eastAsia="zh-CN" w:bidi="ar-SA"/>
                    </w:rPr>
                  </w:pPr>
                  <w:r>
                    <w:rPr>
                      <w:rFonts w:hint="default"/>
                      <w:color w:val="auto"/>
                      <w:lang w:val="en-US" w:eastAsia="zh-CN" w:bidi="ar-SA"/>
                    </w:rPr>
                    <w:t>固废</w:t>
                  </w:r>
                </w:p>
              </w:tc>
              <w:tc>
                <w:tcPr>
                  <w:tcW w:w="45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eastAsia"/>
                      <w:color w:val="auto"/>
                      <w:lang w:val="en-US" w:eastAsia="zh-CN" w:bidi="ar-SA"/>
                    </w:rPr>
                    <w:t>/</w:t>
                  </w:r>
                </w:p>
              </w:tc>
              <w:tc>
                <w:tcPr>
                  <w:tcW w:w="82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default"/>
                      <w:color w:val="auto"/>
                      <w:lang w:val="en-US" w:eastAsia="zh-CN" w:bidi="ar-SA"/>
                    </w:rPr>
                    <w:t>900-999-99</w:t>
                  </w:r>
                </w:p>
              </w:tc>
              <w:tc>
                <w:tcPr>
                  <w:tcW w:w="501"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eastAsia"/>
                      <w:color w:val="auto"/>
                      <w:lang w:val="en-US" w:eastAsia="zh-CN" w:bidi="ar-SA"/>
                    </w:rPr>
                    <w:t>0.1</w:t>
                  </w:r>
                </w:p>
              </w:tc>
              <w:tc>
                <w:tcPr>
                  <w:tcW w:w="1101"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eastAsia"/>
                      <w:color w:val="auto"/>
                      <w:lang w:val="en-US" w:eastAsia="zh-CN" w:bidi="ar-SA"/>
                    </w:rPr>
                    <w:t>由厂家更换时带走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28" w:type="pct"/>
                  <w:tcBorders>
                    <w:tl2br w:val="nil"/>
                    <w:tr2bl w:val="nil"/>
                  </w:tcBorders>
                  <w:noWrap w:val="0"/>
                  <w:vAlign w:val="center"/>
                </w:tcPr>
                <w:p>
                  <w:pPr>
                    <w:pStyle w:val="28"/>
                    <w:keepNext/>
                    <w:keepLines/>
                    <w:pageBreakBefore w:val="0"/>
                    <w:bidi w:val="0"/>
                    <w:rPr>
                      <w:rFonts w:hint="eastAsia" w:eastAsia="宋体" w:asciiTheme="minorAscii" w:hAnsiTheme="minorAscii" w:cstheme="minorBidi"/>
                      <w:color w:val="auto"/>
                      <w:sz w:val="21"/>
                      <w:lang w:val="en-US" w:eastAsia="zh-CN" w:bidi="ar-SA"/>
                    </w:rPr>
                  </w:pPr>
                  <w:r>
                    <w:rPr>
                      <w:rFonts w:hint="eastAsia"/>
                      <w:color w:val="auto"/>
                      <w:lang w:val="en-US" w:eastAsia="zh-CN" w:bidi="ar-SA"/>
                    </w:rPr>
                    <w:t>4</w:t>
                  </w:r>
                </w:p>
              </w:tc>
              <w:tc>
                <w:tcPr>
                  <w:tcW w:w="592"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化学实验废物</w:t>
                  </w:r>
                </w:p>
              </w:tc>
              <w:tc>
                <w:tcPr>
                  <w:tcW w:w="616"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实验</w:t>
                  </w:r>
                  <w:r>
                    <w:rPr>
                      <w:rFonts w:hint="default"/>
                      <w:color w:val="auto"/>
                      <w:lang w:val="en-US" w:eastAsia="zh-CN" w:bidi="ar-SA"/>
                    </w:rPr>
                    <w:t>授课</w:t>
                  </w:r>
                </w:p>
              </w:tc>
              <w:tc>
                <w:tcPr>
                  <w:tcW w:w="571" w:type="pct"/>
                  <w:tcBorders>
                    <w:tl2br w:val="nil"/>
                    <w:tr2bl w:val="nil"/>
                  </w:tcBorders>
                  <w:noWrap w:val="0"/>
                  <w:vAlign w:val="center"/>
                </w:tcPr>
                <w:p>
                  <w:pPr>
                    <w:pStyle w:val="28"/>
                    <w:keepNext/>
                    <w:keepLines/>
                    <w:pageBreakBefore w:val="0"/>
                    <w:bidi w:val="0"/>
                    <w:rPr>
                      <w:color w:val="auto"/>
                      <w:lang w:val="en-US" w:eastAsia="zh-CN" w:bidi="ar-SA"/>
                    </w:rPr>
                  </w:pPr>
                  <w:r>
                    <w:rPr>
                      <w:color w:val="auto"/>
                      <w:lang w:val="en-US" w:eastAsia="zh-CN" w:bidi="ar-SA"/>
                    </w:rPr>
                    <w:t>危险</w:t>
                  </w:r>
                </w:p>
                <w:p>
                  <w:pPr>
                    <w:pStyle w:val="28"/>
                    <w:keepNext/>
                    <w:keepLines/>
                    <w:pageBreakBefore w:val="0"/>
                    <w:bidi w:val="0"/>
                    <w:rPr>
                      <w:rFonts w:hint="eastAsia"/>
                      <w:color w:val="auto"/>
                      <w:lang w:val="en-US" w:eastAsia="zh-CN" w:bidi="ar-SA"/>
                    </w:rPr>
                  </w:pPr>
                  <w:r>
                    <w:rPr>
                      <w:rFonts w:hint="default"/>
                      <w:color w:val="auto"/>
                      <w:lang w:val="en-US" w:eastAsia="zh-CN" w:bidi="ar-SA"/>
                    </w:rPr>
                    <w:t>废物</w:t>
                  </w:r>
                </w:p>
              </w:tc>
              <w:tc>
                <w:tcPr>
                  <w:tcW w:w="45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default"/>
                      <w:color w:val="auto"/>
                      <w:lang w:val="en-US" w:eastAsia="zh-CN" w:bidi="ar-SA"/>
                    </w:rPr>
                    <w:t>HW49</w:t>
                  </w:r>
                </w:p>
              </w:tc>
              <w:tc>
                <w:tcPr>
                  <w:tcW w:w="828"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rFonts w:hint="default"/>
                      <w:color w:val="auto"/>
                      <w:lang w:val="en-US" w:eastAsia="zh-CN" w:bidi="ar-SA"/>
                    </w:rPr>
                    <w:t>900-047-49</w:t>
                  </w:r>
                </w:p>
              </w:tc>
              <w:tc>
                <w:tcPr>
                  <w:tcW w:w="501" w:type="pct"/>
                  <w:tcBorders>
                    <w:tl2br w:val="nil"/>
                    <w:tr2bl w:val="nil"/>
                  </w:tcBorders>
                  <w:noWrap w:val="0"/>
                  <w:vAlign w:val="center"/>
                </w:tcPr>
                <w:p>
                  <w:pPr>
                    <w:pStyle w:val="28"/>
                    <w:keepNext/>
                    <w:keepLines/>
                    <w:pageBreakBefore w:val="0"/>
                    <w:bidi w:val="0"/>
                    <w:rPr>
                      <w:rFonts w:hint="default"/>
                      <w:color w:val="auto"/>
                      <w:lang w:val="en-US" w:eastAsia="zh-CN" w:bidi="ar-SA"/>
                    </w:rPr>
                  </w:pPr>
                  <w:r>
                    <w:rPr>
                      <w:rFonts w:hint="default"/>
                      <w:color w:val="auto"/>
                      <w:lang w:val="en-US" w:eastAsia="zh-CN" w:bidi="ar-SA"/>
                    </w:rPr>
                    <w:t>0.</w:t>
                  </w:r>
                  <w:r>
                    <w:rPr>
                      <w:rFonts w:hint="eastAsia"/>
                      <w:color w:val="auto"/>
                      <w:lang w:val="en-US" w:eastAsia="zh-CN" w:bidi="ar-SA"/>
                    </w:rPr>
                    <w:t>03</w:t>
                  </w:r>
                </w:p>
              </w:tc>
              <w:tc>
                <w:tcPr>
                  <w:tcW w:w="1101" w:type="pct"/>
                  <w:tcBorders>
                    <w:tl2br w:val="nil"/>
                    <w:tr2bl w:val="nil"/>
                  </w:tcBorders>
                  <w:noWrap w:val="0"/>
                  <w:vAlign w:val="center"/>
                </w:tcPr>
                <w:p>
                  <w:pPr>
                    <w:pStyle w:val="28"/>
                    <w:keepNext/>
                    <w:keepLines/>
                    <w:pageBreakBefore w:val="0"/>
                    <w:bidi w:val="0"/>
                    <w:rPr>
                      <w:rFonts w:hint="eastAsia"/>
                      <w:color w:val="auto"/>
                      <w:lang w:val="en-US" w:eastAsia="zh-CN" w:bidi="ar-SA"/>
                    </w:rPr>
                  </w:pPr>
                  <w:r>
                    <w:rPr>
                      <w:color w:val="auto"/>
                      <w:lang w:val="en-US" w:eastAsia="zh-CN" w:bidi="ar-SA"/>
                    </w:rPr>
                    <w:t>交有资质的危废</w:t>
                  </w:r>
                  <w:r>
                    <w:rPr>
                      <w:rFonts w:hint="default"/>
                      <w:color w:val="auto"/>
                      <w:lang w:val="en-US" w:eastAsia="zh-CN" w:bidi="ar-SA"/>
                    </w:rPr>
                    <w:t>单位回收处置</w:t>
                  </w:r>
                </w:p>
              </w:tc>
            </w:tr>
          </w:tbl>
          <w:p>
            <w:pPr>
              <w:keepNext/>
              <w:keepLines/>
              <w:pageBreakBefore w:val="0"/>
              <w:bidi w:val="0"/>
              <w:spacing w:line="360" w:lineRule="auto"/>
              <w:ind w:firstLine="482" w:firstLineChars="200"/>
              <w:rPr>
                <w:rFonts w:hint="eastAsia"/>
                <w:b/>
                <w:bCs/>
                <w:color w:val="auto"/>
                <w:sz w:val="24"/>
              </w:rPr>
            </w:pPr>
            <w:r>
              <w:rPr>
                <w:rFonts w:hint="eastAsia"/>
                <w:b/>
                <w:bCs/>
                <w:color w:val="auto"/>
                <w:sz w:val="24"/>
                <w:lang w:val="en-US" w:eastAsia="zh-CN"/>
              </w:rPr>
              <w:t xml:space="preserve">（2）固体废物对环境的影响分析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本项目产生固废采取上述措施后，本项目产生的固体废物得到了有效处理，不会造成二次污染，从环保角度考虑，固体废物防治措施是可行的。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1）安全贮存要求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a、一般工业固废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①要按照《一般工业固体废物贮存、处置场污染控制标准》（GB18599-2020）的要求设置暂存场所。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②贮存、处置场的设置必须与将要堆放的一般工业固体废物的类别相一致。 </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③不得露天堆放，防止雨水进入产生二次污染。 </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 xml:space="preserve">④单位须针对此对相关负责人员进行培训，加强环境保护的意识，对于固体废弃物的收集、运输要实施专人专职管理制度并建立好档案制度。应将入场的一般工业固体废物的种类和数量以及下列资料，详细记录在案，长期保存，供随时查阅。 </w:t>
            </w:r>
          </w:p>
          <w:p>
            <w:pPr>
              <w:pStyle w:val="60"/>
              <w:bidi w:val="0"/>
              <w:rPr>
                <w:rFonts w:hint="default"/>
                <w:color w:val="auto"/>
                <w:lang w:val="en-US"/>
              </w:rPr>
            </w:pPr>
            <w:r>
              <w:rPr>
                <w:rFonts w:hint="eastAsia"/>
                <w:color w:val="auto"/>
                <w:lang w:val="en-US" w:eastAsia="zh-CN"/>
              </w:rPr>
              <w:t>⑤生活垃圾收集到垃圾箱中，定期委托环卫部门处置。</w:t>
            </w:r>
          </w:p>
          <w:p>
            <w:pPr>
              <w:keepNext/>
              <w:keepLines/>
              <w:pageBreakBefore w:val="0"/>
              <w:bidi w:val="0"/>
              <w:spacing w:line="360" w:lineRule="auto"/>
              <w:ind w:firstLine="480" w:firstLineChars="200"/>
              <w:rPr>
                <w:rFonts w:hint="eastAsia"/>
                <w:color w:val="auto"/>
                <w:sz w:val="24"/>
              </w:rPr>
            </w:pPr>
            <w:r>
              <w:rPr>
                <w:rFonts w:hint="eastAsia"/>
                <w:color w:val="auto"/>
                <w:sz w:val="24"/>
                <w:lang w:val="en-US" w:eastAsia="zh-CN"/>
              </w:rPr>
              <w:t xml:space="preserve">b、危险废物 </w:t>
            </w:r>
          </w:p>
          <w:p>
            <w:pPr>
              <w:keepNext/>
              <w:keepLines/>
              <w:pageBreakBefore w:val="0"/>
              <w:bidi w:val="0"/>
              <w:spacing w:line="360" w:lineRule="auto"/>
              <w:ind w:firstLine="480" w:firstLineChars="200"/>
              <w:rPr>
                <w:rFonts w:hint="default"/>
                <w:color w:val="auto"/>
                <w:sz w:val="24"/>
                <w:lang w:val="en-US"/>
              </w:rPr>
            </w:pPr>
            <w:r>
              <w:rPr>
                <w:rFonts w:hint="eastAsia"/>
                <w:color w:val="auto"/>
                <w:sz w:val="24"/>
                <w:lang w:val="en-US" w:eastAsia="zh-CN"/>
              </w:rPr>
              <w:t>本项目为高中教育学校建设项目，产生的化学废液均为弱酸弱碱性废物，量较少，种类单一，危废间设置5m</w:t>
            </w:r>
            <w:r>
              <w:rPr>
                <w:rFonts w:hint="eastAsia"/>
                <w:color w:val="auto"/>
                <w:sz w:val="24"/>
                <w:vertAlign w:val="superscript"/>
                <w:lang w:val="en-US" w:eastAsia="zh-CN"/>
              </w:rPr>
              <w:t>3</w:t>
            </w:r>
            <w:r>
              <w:rPr>
                <w:rFonts w:hint="eastAsia"/>
                <w:color w:val="auto"/>
                <w:sz w:val="24"/>
                <w:lang w:val="en-US" w:eastAsia="zh-CN"/>
              </w:rPr>
              <w:t>足够使用，故本次要求建设单位做好危废的日常管理，具体如下：</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 xml:space="preserve">①学校化学试验室产生的化学废液，使用HDPE废液桶收集，禁止直接倒入水池当中； </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②废液临时贮存场所，应当选择实验室内边角区或其他不容易碰撞的区域。</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 xml:space="preserve">③对危险废物的容器和贮存的区域，必须设置危险废物识别标志； </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④化学废液定期清理，禁止长时间贮存</w:t>
            </w:r>
          </w:p>
          <w:p>
            <w:pPr>
              <w:keepNext/>
              <w:keepLines/>
              <w:pageBreakBefore w:val="0"/>
              <w:bidi w:val="0"/>
              <w:spacing w:line="360" w:lineRule="auto"/>
              <w:ind w:firstLine="482" w:firstLineChars="200"/>
              <w:rPr>
                <w:rFonts w:hint="default"/>
                <w:b/>
                <w:bCs/>
                <w:color w:val="auto"/>
                <w:sz w:val="24"/>
                <w:lang w:val="en-US" w:eastAsia="zh-CN"/>
              </w:rPr>
            </w:pPr>
            <w:r>
              <w:rPr>
                <w:rFonts w:hint="eastAsia"/>
                <w:b/>
                <w:bCs/>
                <w:color w:val="auto"/>
                <w:sz w:val="24"/>
                <w:lang w:val="en-US" w:eastAsia="zh-CN"/>
              </w:rPr>
              <w:t>（3）危废暂存间设置要求</w:t>
            </w:r>
          </w:p>
          <w:p>
            <w:pPr>
              <w:pStyle w:val="60"/>
              <w:bidi w:val="0"/>
              <w:rPr>
                <w:color w:val="auto"/>
                <w:lang w:val="en-US" w:eastAsia="zh-CN"/>
              </w:rPr>
            </w:pPr>
            <w:r>
              <w:rPr>
                <w:color w:val="auto"/>
                <w:lang w:val="en-US" w:eastAsia="zh-CN"/>
              </w:rPr>
              <w:t>贮存设施或贮存分区内地面、墙面裙脚、堵截泄漏的围堰、接触危险废物的隔板和墙体等应采用坚固的材料建造，表面无裂缝。</w:t>
            </w:r>
          </w:p>
          <w:p>
            <w:pPr>
              <w:pStyle w:val="60"/>
              <w:bidi w:val="0"/>
              <w:rPr>
                <w:color w:val="auto"/>
              </w:rPr>
            </w:pPr>
            <w:r>
              <w:rPr>
                <w:color w:val="auto"/>
                <w:lang w:val="en-US" w:eastAsia="zh-CN"/>
              </w:rPr>
              <w:t xml:space="preserve">贮存设施地面与裙脚应采取表面防渗措施；表面防渗材料应与所接触的物料或污染物相容，可 采用抗渗混凝土、高密度聚乙烯膜、钠基膨润土防水毯或其他防渗性能等效的材料。贮存的危险废物直 接接触地面的，还应进行基础防渗，防渗层为至少 1 m 厚黏土层（渗透系数不大于 </w:t>
            </w:r>
            <w:r>
              <w:rPr>
                <w:rFonts w:hint="default"/>
                <w:color w:val="auto"/>
                <w:lang w:val="en-US" w:eastAsia="zh-CN"/>
              </w:rPr>
              <w:t>10</w:t>
            </w:r>
            <w:r>
              <w:rPr>
                <w:rFonts w:hint="default"/>
                <w:color w:val="auto"/>
                <w:vertAlign w:val="superscript"/>
                <w:lang w:val="en-US" w:eastAsia="zh-CN"/>
              </w:rPr>
              <w:t>-7</w:t>
            </w:r>
            <w:r>
              <w:rPr>
                <w:rFonts w:hint="default"/>
                <w:color w:val="auto"/>
                <w:lang w:val="en-US" w:eastAsia="zh-CN"/>
              </w:rPr>
              <w:t xml:space="preserve"> cm/s</w:t>
            </w:r>
            <w:r>
              <w:rPr>
                <w:color w:val="auto"/>
                <w:lang w:val="en-US" w:eastAsia="zh-CN"/>
              </w:rPr>
              <w:t>），或至少</w:t>
            </w:r>
            <w:r>
              <w:rPr>
                <w:rFonts w:hint="default"/>
                <w:color w:val="auto"/>
                <w:lang w:val="en-US" w:eastAsia="zh-CN"/>
              </w:rPr>
              <w:t xml:space="preserve">2 mm </w:t>
            </w:r>
            <w:r>
              <w:rPr>
                <w:color w:val="auto"/>
                <w:lang w:val="en-US" w:eastAsia="zh-CN"/>
              </w:rPr>
              <w:t xml:space="preserve">厚高密度聚乙烯膜等人工防渗材料（渗透系数不大于 </w:t>
            </w:r>
            <w:r>
              <w:rPr>
                <w:rFonts w:hint="default"/>
                <w:color w:val="auto"/>
                <w:lang w:val="en-US" w:eastAsia="zh-CN"/>
              </w:rPr>
              <w:t>10</w:t>
            </w:r>
            <w:r>
              <w:rPr>
                <w:rFonts w:hint="default"/>
                <w:color w:val="auto"/>
                <w:vertAlign w:val="superscript"/>
                <w:lang w:val="en-US" w:eastAsia="zh-CN"/>
              </w:rPr>
              <w:t xml:space="preserve"> -10</w:t>
            </w:r>
            <w:r>
              <w:rPr>
                <w:rFonts w:hint="default"/>
                <w:color w:val="auto"/>
                <w:lang w:val="en-US" w:eastAsia="zh-CN"/>
              </w:rPr>
              <w:t xml:space="preserve"> cm/s</w:t>
            </w:r>
            <w:r>
              <w:rPr>
                <w:color w:val="auto"/>
                <w:lang w:val="en-US" w:eastAsia="zh-CN"/>
              </w:rPr>
              <w:t>），或其他防渗性能等效的材料。</w:t>
            </w:r>
          </w:p>
          <w:p>
            <w:pPr>
              <w:keepNext/>
              <w:keepLines/>
              <w:pageBreakBefore w:val="0"/>
              <w:bidi w:val="0"/>
              <w:spacing w:line="360" w:lineRule="auto"/>
              <w:ind w:firstLine="482" w:firstLineChars="200"/>
              <w:rPr>
                <w:rFonts w:hint="eastAsia"/>
                <w:b/>
                <w:bCs/>
                <w:color w:val="auto"/>
                <w:sz w:val="24"/>
              </w:rPr>
            </w:pPr>
            <w:r>
              <w:rPr>
                <w:rFonts w:hint="eastAsia"/>
                <w:b/>
                <w:bCs/>
                <w:color w:val="auto"/>
                <w:sz w:val="24"/>
                <w:lang w:val="en-US" w:eastAsia="zh-CN"/>
              </w:rPr>
              <w:t>（4）</w:t>
            </w:r>
            <w:r>
              <w:rPr>
                <w:rFonts w:hint="eastAsia"/>
                <w:b/>
                <w:bCs/>
                <w:color w:val="auto"/>
                <w:sz w:val="24"/>
              </w:rPr>
              <w:t>危险废物的转运要求：</w:t>
            </w:r>
          </w:p>
          <w:p>
            <w:pPr>
              <w:keepNext/>
              <w:keepLines/>
              <w:pageBreakBefore w:val="0"/>
              <w:bidi w:val="0"/>
              <w:spacing w:line="360" w:lineRule="auto"/>
              <w:ind w:firstLine="480" w:firstLineChars="200"/>
              <w:rPr>
                <w:rFonts w:hint="eastAsia"/>
                <w:color w:val="auto"/>
                <w:sz w:val="24"/>
              </w:rPr>
            </w:pPr>
            <w:r>
              <w:rPr>
                <w:rFonts w:hint="eastAsia"/>
                <w:color w:val="auto"/>
                <w:sz w:val="24"/>
              </w:rPr>
              <w:t>①项目危险废物在运输过程中应严格遵照《危险废物收集、贮存、运输技术规范》（HJ2025-2012）中的规定，项目固体废物转运过程中采取篷布遮盖、防滴漏等措施，减少固体废物运输过程给环境带来污染。</w:t>
            </w:r>
          </w:p>
          <w:p>
            <w:pPr>
              <w:keepNext/>
              <w:keepLines/>
              <w:pageBreakBefore w:val="0"/>
              <w:bidi w:val="0"/>
              <w:spacing w:line="360" w:lineRule="auto"/>
              <w:ind w:firstLine="480" w:firstLineChars="200"/>
              <w:rPr>
                <w:rFonts w:hint="eastAsia"/>
                <w:color w:val="auto"/>
                <w:sz w:val="24"/>
              </w:rPr>
            </w:pPr>
            <w:r>
              <w:rPr>
                <w:rFonts w:hint="eastAsia"/>
                <w:color w:val="auto"/>
                <w:sz w:val="24"/>
              </w:rPr>
              <w:t>②禁止危险废物和生活垃圾混合存放、处置。</w:t>
            </w:r>
          </w:p>
          <w:p>
            <w:pPr>
              <w:keepNext/>
              <w:keepLines/>
              <w:pageBreakBefore w:val="0"/>
              <w:bidi w:val="0"/>
              <w:spacing w:line="360" w:lineRule="auto"/>
              <w:ind w:firstLine="480" w:firstLineChars="200"/>
              <w:rPr>
                <w:rFonts w:hint="eastAsia"/>
                <w:color w:val="auto"/>
                <w:sz w:val="24"/>
              </w:rPr>
            </w:pPr>
            <w:r>
              <w:rPr>
                <w:rFonts w:hint="eastAsia"/>
                <w:color w:val="auto"/>
                <w:sz w:val="24"/>
              </w:rPr>
              <w:t>③危险废弃物在转运时必须提供危险废弃物的名称、主要成份、性质及数量等信息，并根据青海省固废管理信息系统中的要求填写危险废弃物转移电子联单，办理申报手续。</w:t>
            </w:r>
          </w:p>
          <w:p>
            <w:pPr>
              <w:keepNext/>
              <w:keepLines/>
              <w:pageBreakBefore w:val="0"/>
              <w:bidi w:val="0"/>
              <w:spacing w:line="360" w:lineRule="auto"/>
              <w:ind w:firstLine="480" w:firstLineChars="200"/>
              <w:rPr>
                <w:rFonts w:hint="eastAsia"/>
                <w:color w:val="auto"/>
                <w:sz w:val="24"/>
              </w:rPr>
            </w:pPr>
            <w:r>
              <w:rPr>
                <w:rFonts w:hint="eastAsia"/>
                <w:color w:val="auto"/>
                <w:sz w:val="24"/>
              </w:rPr>
              <w:t>④应按国家有关危险废物处理处置规范要求，安全处置。根据青海省固废管理信息系统中的要求，转运时要办理危险废物转移电子联单，做好贮存、交接、外运等方面的登记工作，严禁就地填埋。</w:t>
            </w:r>
            <w:r>
              <w:rPr>
                <w:rFonts w:hint="eastAsia"/>
                <w:color w:val="auto"/>
                <w:sz w:val="24"/>
                <w:lang w:val="en-US" w:eastAsia="zh-CN"/>
              </w:rPr>
              <w:t xml:space="preserve"> </w:t>
            </w:r>
          </w:p>
          <w:p>
            <w:pPr>
              <w:keepNext/>
              <w:keepLines/>
              <w:pageBreakBefore w:val="0"/>
              <w:bidi w:val="0"/>
              <w:spacing w:line="360" w:lineRule="auto"/>
              <w:ind w:firstLine="480" w:firstLineChars="200"/>
              <w:rPr>
                <w:rFonts w:hint="eastAsia"/>
                <w:color w:val="auto"/>
                <w:sz w:val="24"/>
                <w:lang w:val="en-US" w:eastAsia="zh-CN"/>
              </w:rPr>
            </w:pPr>
            <w:r>
              <w:rPr>
                <w:rFonts w:hint="eastAsia"/>
                <w:color w:val="auto"/>
                <w:sz w:val="24"/>
                <w:lang w:val="en-US" w:eastAsia="zh-CN"/>
              </w:rPr>
              <w:t xml:space="preserve">项目一般固体废物和危险废物在校内堆放和转移运输过程应防止抛洒逸散，建立台账记录并按时申报其产生贮存情况。危险废物由专用车辆转移至处置公司，转移过程按照要求办理转移审批手续，严格执行五联单制度，确保危险废物从产生、转移到处置的全过程监控，防止抛洒逸散。正常情况下，转移过程不会对沿线环境造成不良影响。 </w:t>
            </w:r>
          </w:p>
          <w:p>
            <w:pPr>
              <w:pStyle w:val="60"/>
              <w:bidi w:val="0"/>
              <w:rPr>
                <w:rFonts w:hint="default"/>
                <w:b/>
                <w:bCs/>
                <w:color w:val="auto"/>
                <w:lang w:val="en-US" w:eastAsia="zh-CN"/>
              </w:rPr>
            </w:pPr>
            <w:r>
              <w:rPr>
                <w:rFonts w:hint="eastAsia"/>
                <w:b/>
                <w:bCs/>
                <w:color w:val="auto"/>
                <w:lang w:val="en-US" w:eastAsia="zh-CN"/>
              </w:rPr>
              <w:t>五、电磁影响分析</w:t>
            </w:r>
          </w:p>
          <w:p>
            <w:pPr>
              <w:pStyle w:val="60"/>
              <w:bidi w:val="0"/>
              <w:rPr>
                <w:rFonts w:hint="eastAsia"/>
                <w:b/>
                <w:bCs/>
                <w:color w:val="auto"/>
                <w:lang w:val="en-US" w:eastAsia="zh-CN"/>
              </w:rPr>
            </w:pPr>
            <w:r>
              <w:rPr>
                <w:rFonts w:hint="eastAsia"/>
                <w:b w:val="0"/>
                <w:bCs w:val="0"/>
                <w:color w:val="auto"/>
                <w:lang w:val="en-US" w:eastAsia="zh-CN"/>
              </w:rPr>
              <w:t>本项目设置两处变电所，1#变电所</w:t>
            </w:r>
            <w:r>
              <w:rPr>
                <w:rFonts w:hint="eastAsia" w:ascii="Times New Roman" w:hAnsi="Times New Roman" w:cs="Times New Roman"/>
                <w:color w:val="auto"/>
                <w:lang w:val="en-US" w:eastAsia="zh-CN"/>
              </w:rPr>
              <w:t>于图书综合楼负1楼，</w:t>
            </w:r>
            <w:r>
              <w:rPr>
                <w:rFonts w:hint="default" w:ascii="Times New Roman" w:hAnsi="Times New Roman" w:eastAsia="宋体" w:cs="Times New Roman"/>
                <w:color w:val="auto"/>
                <w:lang w:val="en-US" w:eastAsia="zh-CN"/>
              </w:rPr>
              <w:t>内设置2台1600KVA常用变压器，1 台 1000KVA 备用变压器</w:t>
            </w:r>
            <w:r>
              <w:rPr>
                <w:rFonts w:hint="eastAsia" w:ascii="Times New Roman" w:hAnsi="Times New Roman" w:cs="Times New Roman"/>
                <w:color w:val="auto"/>
                <w:lang w:val="en-US" w:eastAsia="zh-CN"/>
              </w:rPr>
              <w:t>；高压侧两路 10kV 电源进线，低压 0.4kV 侧采取单母线分段</w:t>
            </w:r>
            <w:r>
              <w:rPr>
                <w:rFonts w:hint="default" w:ascii="Times New Roman" w:hAnsi="Times New Roman" w:eastAsia="宋体" w:cs="Times New Roman"/>
                <w:color w:val="auto"/>
                <w:lang w:val="en-US" w:eastAsia="zh-CN"/>
              </w:rPr>
              <w:t>。</w:t>
            </w:r>
            <w:r>
              <w:rPr>
                <w:rFonts w:hint="eastAsia" w:ascii="Times New Roman" w:hAnsi="Times New Roman" w:eastAsia="宋体" w:cs="Times New Roman"/>
                <w:color w:val="auto"/>
                <w:lang w:val="en-US" w:eastAsia="zh-CN"/>
              </w:rPr>
              <w:t>2#</w:t>
            </w:r>
            <w:r>
              <w:rPr>
                <w:rFonts w:hint="default" w:ascii="Times New Roman" w:hAnsi="Times New Roman" w:eastAsia="宋体" w:cs="Times New Roman"/>
                <w:color w:val="auto"/>
                <w:lang w:val="en-US" w:eastAsia="zh-CN"/>
              </w:rPr>
              <w:t>变电所为单层民用建筑，建筑面积为 180 m2，建筑高度 5.55m，采用框架结构。变电所设置置1台1600KVA常用变压器，1 台 400KVA 备用变压器,高压侧两路 10kV 电源进线，低压 0.4kV 侧采取单母线分段。</w:t>
            </w:r>
            <w:r>
              <w:rPr>
                <w:rFonts w:hint="eastAsia" w:ascii="Times New Roman" w:hAnsi="Times New Roman" w:eastAsia="宋体" w:cs="Times New Roman"/>
                <w:color w:val="auto"/>
                <w:lang w:val="en-US" w:eastAsia="zh-CN"/>
              </w:rPr>
              <w:t>因本项目两处变电所电压等级较小、变压器容量较小，相应的产生的磁场及电场强度较小，对周边人群产生的影响较小。同时，两处变电所均设置在混凝土构筑物中，其够构筑物墙壁能有有效减弱磁场与电场对外部环境的影响。因此，本项目变电所对周边环境的影响较小。</w:t>
            </w:r>
          </w:p>
          <w:p>
            <w:pPr>
              <w:pStyle w:val="60"/>
              <w:bidi w:val="0"/>
              <w:rPr>
                <w:rFonts w:hint="eastAsia"/>
                <w:b/>
                <w:bCs/>
                <w:color w:val="auto"/>
              </w:rPr>
            </w:pPr>
            <w:r>
              <w:rPr>
                <w:rFonts w:hint="eastAsia"/>
                <w:b/>
                <w:bCs/>
                <w:color w:val="auto"/>
                <w:lang w:val="en-US" w:eastAsia="zh-CN"/>
              </w:rPr>
              <w:t>六、</w:t>
            </w:r>
            <w:r>
              <w:rPr>
                <w:rFonts w:hint="eastAsia"/>
                <w:b/>
                <w:bCs/>
                <w:color w:val="auto"/>
              </w:rPr>
              <w:t>环境风险</w:t>
            </w:r>
          </w:p>
          <w:p>
            <w:pPr>
              <w:keepNext/>
              <w:keepLines/>
              <w:pageBreakBefore w:val="0"/>
              <w:widowControl/>
              <w:kinsoku/>
              <w:overflowPunct/>
              <w:bidi w:val="0"/>
              <w:spacing w:line="360" w:lineRule="auto"/>
              <w:ind w:firstLine="480" w:firstLineChars="200"/>
              <w:jc w:val="both"/>
              <w:outlineLvl w:val="3"/>
              <w:rPr>
                <w:rFonts w:ascii="Times New Roman" w:hAnsi="Times New Roman" w:eastAsia="宋体" w:cs="Times New Roman"/>
                <w:b w:val="0"/>
                <w:bCs w:val="0"/>
                <w:color w:val="auto"/>
                <w:kern w:val="2"/>
                <w:sz w:val="24"/>
                <w:szCs w:val="28"/>
                <w:lang w:val="en-US" w:eastAsia="zh-CN" w:bidi="ar-SA"/>
              </w:rPr>
            </w:pPr>
            <w:bookmarkStart w:id="8" w:name="_Toc12130"/>
            <w:r>
              <w:rPr>
                <w:rFonts w:hint="eastAsia" w:cs="Times New Roman"/>
                <w:b w:val="0"/>
                <w:bCs w:val="0"/>
                <w:color w:val="auto"/>
                <w:kern w:val="2"/>
                <w:sz w:val="24"/>
                <w:szCs w:val="28"/>
                <w:lang w:val="en-US" w:eastAsia="zh-CN" w:bidi="ar-SA"/>
              </w:rPr>
              <w:t>（1）</w:t>
            </w:r>
            <w:r>
              <w:rPr>
                <w:rFonts w:hint="eastAsia" w:ascii="Times New Roman" w:hAnsi="Times New Roman" w:eastAsia="宋体" w:cs="Times New Roman"/>
                <w:b w:val="0"/>
                <w:bCs w:val="0"/>
                <w:color w:val="auto"/>
                <w:kern w:val="2"/>
                <w:sz w:val="24"/>
                <w:szCs w:val="28"/>
                <w:lang w:val="en-US" w:eastAsia="zh-CN" w:bidi="ar-SA"/>
              </w:rPr>
              <w:t>风险调查</w:t>
            </w:r>
            <w:bookmarkEnd w:id="8"/>
          </w:p>
          <w:p>
            <w:pPr>
              <w:keepNext/>
              <w:keepLines/>
              <w:pageBreakBefore w:val="0"/>
              <w:wordWrap w:val="0"/>
              <w:overflowPunct/>
              <w:topLinePunct/>
              <w:bidi w:val="0"/>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根据工程分析可得，项目运行过程中涉及到的物质包括理化实验室所用的试剂。对照《建设项目环境风险评价技术导则》（HJ169-2018）附录B，确定本项目涉及主要危险物质为</w:t>
            </w:r>
            <w:r>
              <w:rPr>
                <w:rFonts w:hint="eastAsia" w:cs="Times New Roman"/>
                <w:color w:val="auto"/>
                <w:sz w:val="24"/>
                <w:lang w:val="en-US" w:eastAsia="zh-CN" w:bidi="ar-SA"/>
              </w:rPr>
              <w:t>氨水、乙酸等试剂以及实验室废液</w:t>
            </w:r>
            <w:r>
              <w:rPr>
                <w:rFonts w:hint="eastAsia" w:ascii="Times New Roman" w:hAnsi="Times New Roman" w:eastAsia="宋体" w:cs="Times New Roman"/>
                <w:color w:val="auto"/>
                <w:sz w:val="24"/>
                <w:lang w:val="en-US" w:eastAsia="zh-CN" w:bidi="ar-SA"/>
              </w:rPr>
              <w:t>，主要风险单元有</w:t>
            </w:r>
            <w:r>
              <w:rPr>
                <w:rFonts w:hint="eastAsia" w:cs="Times New Roman"/>
                <w:color w:val="auto"/>
                <w:sz w:val="24"/>
                <w:lang w:val="en-US" w:eastAsia="zh-CN" w:bidi="ar-SA"/>
              </w:rPr>
              <w:t>危废贮存库</w:t>
            </w:r>
            <w:r>
              <w:rPr>
                <w:rFonts w:hint="eastAsia" w:ascii="Times New Roman" w:hAnsi="Times New Roman" w:eastAsia="宋体" w:cs="Times New Roman"/>
                <w:color w:val="auto"/>
                <w:sz w:val="24"/>
                <w:lang w:val="en-US" w:eastAsia="zh-CN" w:bidi="ar-SA"/>
              </w:rPr>
              <w:t>、</w:t>
            </w:r>
            <w:r>
              <w:rPr>
                <w:rFonts w:hint="eastAsia" w:cs="Times New Roman"/>
                <w:color w:val="auto"/>
                <w:sz w:val="24"/>
                <w:lang w:val="en-US" w:eastAsia="zh-CN" w:bidi="ar-SA"/>
              </w:rPr>
              <w:t>化学实验</w:t>
            </w:r>
            <w:r>
              <w:rPr>
                <w:rFonts w:hint="eastAsia" w:ascii="Times New Roman" w:hAnsi="Times New Roman" w:eastAsia="宋体" w:cs="Times New Roman"/>
                <w:color w:val="auto"/>
                <w:sz w:val="24"/>
                <w:lang w:val="en-US" w:eastAsia="zh-CN" w:bidi="ar-SA"/>
              </w:rPr>
              <w:t>室</w:t>
            </w:r>
            <w:r>
              <w:rPr>
                <w:rFonts w:hint="eastAsia" w:ascii="Times New Roman" w:hAnsi="Times New Roman" w:eastAsia="宋体" w:cs="Times New Roman"/>
                <w:color w:val="auto"/>
                <w:sz w:val="24"/>
                <w:szCs w:val="24"/>
                <w:lang w:val="en-US" w:eastAsia="zh-CN" w:bidi="ar-SA"/>
              </w:rPr>
              <w:t>。</w:t>
            </w:r>
            <w:r>
              <w:rPr>
                <w:rFonts w:hint="eastAsia" w:ascii="Times New Roman" w:hAnsi="Times New Roman" w:eastAsia="宋体" w:cs="Times New Roman"/>
                <w:color w:val="auto"/>
                <w:sz w:val="24"/>
                <w:lang w:val="en-US" w:eastAsia="zh-CN" w:bidi="ar-SA"/>
              </w:rPr>
              <w:t>属于表B中突发环境事件风险物质，其临界量见表</w:t>
            </w:r>
            <w:r>
              <w:rPr>
                <w:rFonts w:hint="eastAsia" w:cs="Times New Roman"/>
                <w:color w:val="auto"/>
                <w:sz w:val="24"/>
                <w:lang w:val="en-US" w:eastAsia="zh-CN" w:bidi="ar-SA"/>
              </w:rPr>
              <w:t>4-11</w:t>
            </w:r>
            <w:r>
              <w:rPr>
                <w:rFonts w:hint="eastAsia" w:ascii="Times New Roman" w:hAnsi="Times New Roman" w:eastAsia="宋体" w:cs="Times New Roman"/>
                <w:color w:val="auto"/>
                <w:sz w:val="24"/>
                <w:lang w:val="en-US" w:eastAsia="zh-CN" w:bidi="ar-SA"/>
              </w:rPr>
              <w:t>。</w:t>
            </w:r>
          </w:p>
          <w:p>
            <w:pPr>
              <w:keepNext/>
              <w:keepLines/>
              <w:pageBreakBefore w:val="0"/>
              <w:widowControl w:val="0"/>
              <w:overflowPunct/>
              <w:bidi w:val="0"/>
              <w:spacing w:line="360" w:lineRule="auto"/>
              <w:ind w:firstLine="480" w:firstLineChars="200"/>
              <w:jc w:val="both"/>
              <w:outlineLvl w:val="3"/>
              <w:rPr>
                <w:rFonts w:hint="eastAsia" w:ascii="Times New Roman" w:hAnsi="Times New Roman" w:eastAsia="宋体" w:cs="Times New Roman"/>
                <w:b w:val="0"/>
                <w:bCs w:val="0"/>
                <w:color w:val="auto"/>
                <w:kern w:val="2"/>
                <w:sz w:val="24"/>
                <w:szCs w:val="28"/>
                <w:lang w:val="en-US" w:eastAsia="zh-CN" w:bidi="ar-SA"/>
              </w:rPr>
            </w:pPr>
            <w:bookmarkStart w:id="9" w:name="_Toc14427"/>
            <w:bookmarkStart w:id="10" w:name="_Toc13502"/>
            <w:bookmarkStart w:id="11" w:name="_Toc23503"/>
            <w:bookmarkStart w:id="12" w:name="_Toc21834"/>
            <w:r>
              <w:rPr>
                <w:rFonts w:hint="eastAsia" w:cs="Times New Roman"/>
                <w:b w:val="0"/>
                <w:bCs w:val="0"/>
                <w:color w:val="auto"/>
                <w:kern w:val="2"/>
                <w:sz w:val="24"/>
                <w:szCs w:val="28"/>
                <w:lang w:val="en-US" w:eastAsia="zh-CN" w:bidi="ar-SA"/>
              </w:rPr>
              <w:t>（2）</w:t>
            </w:r>
            <w:r>
              <w:rPr>
                <w:rFonts w:hint="eastAsia" w:ascii="Times New Roman" w:hAnsi="Times New Roman" w:eastAsia="宋体" w:cs="Times New Roman"/>
                <w:b w:val="0"/>
                <w:bCs w:val="0"/>
                <w:color w:val="auto"/>
                <w:kern w:val="2"/>
                <w:sz w:val="24"/>
                <w:szCs w:val="28"/>
                <w:lang w:val="en-US" w:eastAsia="zh-CN" w:bidi="ar-SA"/>
              </w:rPr>
              <w:t>风险潜势初判</w:t>
            </w:r>
            <w:bookmarkEnd w:id="9"/>
            <w:bookmarkEnd w:id="10"/>
            <w:bookmarkEnd w:id="11"/>
            <w:bookmarkEnd w:id="12"/>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1、危险物质数量与临界量比值Q确定</w:t>
            </w:r>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根据《建设项目环境风险评价技术导则》（HJ169-2018）附录C中公式计算本</w:t>
            </w:r>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项目危险物质数量与临界量比值Q，具体见表</w:t>
            </w:r>
            <w:r>
              <w:rPr>
                <w:rFonts w:hint="eastAsia" w:ascii="宋体" w:hAnsi="宋体" w:cs="宋体"/>
                <w:color w:val="auto"/>
                <w:sz w:val="24"/>
                <w:szCs w:val="24"/>
                <w:lang w:val="en-US" w:eastAsia="zh-CN"/>
              </w:rPr>
              <w:t>7</w:t>
            </w:r>
            <w:r>
              <w:rPr>
                <w:rFonts w:hint="eastAsia" w:ascii="宋体" w:hAnsi="宋体" w:cs="宋体"/>
                <w:color w:val="auto"/>
                <w:sz w:val="24"/>
                <w:szCs w:val="24"/>
              </w:rPr>
              <w:t>.1-1。</w:t>
            </w:r>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drawing>
                <wp:inline distT="0" distB="0" distL="114300" distR="114300">
                  <wp:extent cx="2360295" cy="334010"/>
                  <wp:effectExtent l="0" t="0" r="1905" b="8890"/>
                  <wp:docPr id="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pic:cNvPicPr>
                            <a:picLocks noChangeAspect="1"/>
                          </pic:cNvPicPr>
                        </pic:nvPicPr>
                        <pic:blipFill>
                          <a:blip r:embed="rId14"/>
                          <a:stretch>
                            <a:fillRect/>
                          </a:stretch>
                        </pic:blipFill>
                        <pic:spPr>
                          <a:xfrm>
                            <a:off x="0" y="0"/>
                            <a:ext cx="2360295" cy="334010"/>
                          </a:xfrm>
                          <a:prstGeom prst="rect">
                            <a:avLst/>
                          </a:prstGeom>
                          <a:noFill/>
                          <a:ln>
                            <a:noFill/>
                          </a:ln>
                        </pic:spPr>
                      </pic:pic>
                    </a:graphicData>
                  </a:graphic>
                </wp:inline>
              </w:drawing>
            </w:r>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式中：q1，q2，…，qn——每种危险物质的最大存在总量，t；</w:t>
            </w:r>
          </w:p>
          <w:p>
            <w:pPr>
              <w:keepNext/>
              <w:keepLines/>
              <w:pageBreakBefore w:val="0"/>
              <w:widowControl/>
              <w:kinsoku/>
              <w:overflowPunct/>
              <w:bidi w:val="0"/>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 xml:space="preserve">      Q1，Q2，…，Qn——每种危险物质的临界量，t；</w:t>
            </w:r>
          </w:p>
          <w:p>
            <w:pPr>
              <w:keepNext/>
              <w:keepLines/>
              <w:pageBreakBefore w:val="0"/>
              <w:widowControl/>
              <w:kinsoku/>
              <w:overflowPunct/>
              <w:bidi w:val="0"/>
              <w:jc w:val="center"/>
              <w:rPr>
                <w:rFonts w:ascii="宋体" w:hAnsi="宋体" w:cs="宋体"/>
                <w:b/>
                <w:color w:val="auto"/>
                <w:kern w:val="0"/>
                <w:sz w:val="24"/>
                <w:szCs w:val="24"/>
              </w:rPr>
            </w:pPr>
            <w:r>
              <w:rPr>
                <w:rFonts w:hint="eastAsia" w:ascii="宋体" w:hAnsi="宋体" w:cs="宋体"/>
                <w:b/>
                <w:color w:val="auto"/>
                <w:kern w:val="0"/>
                <w:sz w:val="24"/>
                <w:szCs w:val="24"/>
              </w:rPr>
              <w:t>表</w:t>
            </w:r>
            <w:r>
              <w:rPr>
                <w:rFonts w:hint="eastAsia" w:ascii="宋体" w:hAnsi="宋体" w:cs="宋体"/>
                <w:b/>
                <w:color w:val="auto"/>
                <w:kern w:val="0"/>
                <w:sz w:val="24"/>
                <w:szCs w:val="24"/>
                <w:lang w:val="en-US" w:eastAsia="zh-CN"/>
              </w:rPr>
              <w:t>4-13</w:t>
            </w:r>
            <w:r>
              <w:rPr>
                <w:rFonts w:hint="eastAsia" w:ascii="宋体" w:hAnsi="宋体" w:cs="宋体"/>
                <w:b/>
                <w:color w:val="auto"/>
                <w:kern w:val="0"/>
                <w:sz w:val="24"/>
                <w:szCs w:val="24"/>
              </w:rPr>
              <w:t xml:space="preserve"> 本项目Q值确定一览表</w:t>
            </w:r>
          </w:p>
          <w:tbl>
            <w:tblPr>
              <w:tblStyle w:val="21"/>
              <w:tblW w:w="781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47"/>
              <w:gridCol w:w="1055"/>
              <w:gridCol w:w="1151"/>
              <w:gridCol w:w="1151"/>
              <w:gridCol w:w="1728"/>
              <w:gridCol w:w="158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147" w:type="dxa"/>
                  <w:vAlign w:val="center"/>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危险物质名称</w:t>
                  </w:r>
                </w:p>
              </w:tc>
              <w:tc>
                <w:tcPr>
                  <w:tcW w:w="1055" w:type="dxa"/>
                  <w:vAlign w:val="center"/>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CAS号</w:t>
                  </w:r>
                </w:p>
              </w:tc>
              <w:tc>
                <w:tcPr>
                  <w:tcW w:w="1151" w:type="dxa"/>
                  <w:vAlign w:val="center"/>
                </w:tcPr>
                <w:p>
                  <w:pPr>
                    <w:keepNext/>
                    <w:keepLines/>
                    <w:pageBreakBefore w:val="0"/>
                    <w:widowControl/>
                    <w:kinsoku/>
                    <w:overflowPunct/>
                    <w:bidi w:val="0"/>
                    <w:jc w:val="center"/>
                    <w:rPr>
                      <w:rFonts w:hint="eastAsia" w:ascii="宋体" w:hAnsi="宋体" w:eastAsia="宋体" w:cs="宋体"/>
                      <w:b/>
                      <w:color w:val="auto"/>
                      <w:kern w:val="0"/>
                      <w:szCs w:val="21"/>
                      <w:lang w:eastAsia="zh-CN"/>
                    </w:rPr>
                  </w:pPr>
                  <w:r>
                    <w:rPr>
                      <w:rFonts w:hint="eastAsia" w:ascii="宋体" w:hAnsi="宋体" w:cs="宋体"/>
                      <w:b/>
                      <w:color w:val="auto"/>
                      <w:kern w:val="0"/>
                      <w:szCs w:val="21"/>
                    </w:rPr>
                    <w:t>最大存在总量</w:t>
                  </w:r>
                  <w:r>
                    <w:rPr>
                      <w:rFonts w:hint="eastAsia" w:ascii="宋体" w:hAnsi="宋体" w:cs="宋体"/>
                      <w:b/>
                      <w:color w:val="auto"/>
                      <w:kern w:val="0"/>
                      <w:szCs w:val="21"/>
                      <w:lang w:eastAsia="zh-CN"/>
                    </w:rPr>
                    <w:t>（</w:t>
                  </w:r>
                  <w:r>
                    <w:rPr>
                      <w:rFonts w:hint="eastAsia" w:ascii="宋体" w:hAnsi="宋体" w:cs="宋体"/>
                      <w:b/>
                      <w:color w:val="auto"/>
                      <w:kern w:val="0"/>
                      <w:szCs w:val="21"/>
                      <w:lang w:val="en-US" w:eastAsia="zh-CN"/>
                    </w:rPr>
                    <w:t>t</w:t>
                  </w:r>
                  <w:r>
                    <w:rPr>
                      <w:rFonts w:hint="eastAsia" w:ascii="宋体" w:hAnsi="宋体" w:cs="宋体"/>
                      <w:b/>
                      <w:color w:val="auto"/>
                      <w:kern w:val="0"/>
                      <w:szCs w:val="21"/>
                      <w:lang w:eastAsia="zh-CN"/>
                    </w:rPr>
                    <w:t>）</w:t>
                  </w:r>
                </w:p>
              </w:tc>
              <w:tc>
                <w:tcPr>
                  <w:tcW w:w="1151" w:type="dxa"/>
                  <w:vAlign w:val="center"/>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临界量</w:t>
                  </w:r>
                  <w:r>
                    <w:rPr>
                      <w:rFonts w:hint="eastAsia" w:ascii="宋体" w:hAnsi="宋体" w:cs="宋体"/>
                      <w:b/>
                      <w:color w:val="auto"/>
                      <w:kern w:val="0"/>
                      <w:szCs w:val="21"/>
                      <w:lang w:eastAsia="zh-CN"/>
                    </w:rPr>
                    <w:t>（</w:t>
                  </w:r>
                  <w:r>
                    <w:rPr>
                      <w:rFonts w:hint="eastAsia" w:ascii="宋体" w:hAnsi="宋体" w:cs="宋体"/>
                      <w:b/>
                      <w:color w:val="auto"/>
                      <w:kern w:val="0"/>
                      <w:szCs w:val="21"/>
                      <w:lang w:val="en-US" w:eastAsia="zh-CN"/>
                    </w:rPr>
                    <w:t>t</w:t>
                  </w:r>
                  <w:r>
                    <w:rPr>
                      <w:rFonts w:hint="eastAsia" w:ascii="宋体" w:hAnsi="宋体" w:cs="宋体"/>
                      <w:b/>
                      <w:color w:val="auto"/>
                      <w:kern w:val="0"/>
                      <w:szCs w:val="21"/>
                      <w:lang w:eastAsia="zh-CN"/>
                    </w:rPr>
                    <w:t>）</w:t>
                  </w:r>
                </w:p>
              </w:tc>
              <w:tc>
                <w:tcPr>
                  <w:tcW w:w="1728" w:type="dxa"/>
                  <w:vAlign w:val="center"/>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该危险物质Q值</w:t>
                  </w:r>
                </w:p>
              </w:tc>
              <w:tc>
                <w:tcPr>
                  <w:tcW w:w="1587" w:type="dxa"/>
                  <w:vAlign w:val="center"/>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氨水</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1336-21-6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0.00045</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0.000045</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按全年使用量计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汽油</w:t>
                  </w:r>
                </w:p>
              </w:tc>
              <w:tc>
                <w:tcPr>
                  <w:tcW w:w="1055"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0.00078</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2500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0.0000003</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rPr>
                    <w:t>按全年使用量计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乙醛</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75-07-0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0.00079</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0.000079</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按全年使用量计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苯</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71-43-2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0.00088</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0.000088</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乙酸乙酯</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141-78-6</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0.0009</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0.00009</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四氯化碳</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56-23-5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0.0008</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7.5</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0.000106</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苯酚</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108-95-2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0.0011</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0.00022</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147"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乙酸</w:t>
                  </w:r>
                </w:p>
              </w:tc>
              <w:tc>
                <w:tcPr>
                  <w:tcW w:w="1055" w:type="dxa"/>
                  <w:vAlign w:val="center"/>
                </w:tcPr>
                <w:p>
                  <w:pPr>
                    <w:keepNext w:val="0"/>
                    <w:keepLines w:val="0"/>
                    <w:widowControl/>
                    <w:suppressLineNumbers w:val="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000000"/>
                      <w:kern w:val="0"/>
                      <w:sz w:val="21"/>
                      <w:szCs w:val="21"/>
                      <w:lang w:val="en-US" w:eastAsia="zh-CN" w:bidi="ar"/>
                    </w:rPr>
                    <w:t xml:space="preserve">64-19-7 </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0.001</w:t>
                  </w:r>
                </w:p>
              </w:tc>
              <w:tc>
                <w:tcPr>
                  <w:tcW w:w="115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0.0001</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4504" w:type="dxa"/>
                  <w:gridSpan w:val="4"/>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项目Q值∑</w:t>
                  </w:r>
                </w:p>
              </w:tc>
              <w:tc>
                <w:tcPr>
                  <w:tcW w:w="1728"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0.0006383</w:t>
                  </w:r>
                </w:p>
              </w:tc>
              <w:tc>
                <w:tcPr>
                  <w:tcW w:w="1587" w:type="dxa"/>
                  <w:vAlign w:val="center"/>
                </w:tcPr>
                <w:p>
                  <w:pPr>
                    <w:keepNext/>
                    <w:keepLines/>
                    <w:pageBreakBefore w:val="0"/>
                    <w:widowControl/>
                    <w:kinsoku/>
                    <w:overflowPunct/>
                    <w:bidi w:val="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p>
              </w:tc>
            </w:tr>
          </w:tbl>
          <w:p>
            <w:pPr>
              <w:keepNext/>
              <w:keepLines/>
              <w:pageBreakBefore w:val="0"/>
              <w:widowControl/>
              <w:kinsoku/>
              <w:overflowPunct/>
              <w:bidi w:val="0"/>
              <w:spacing w:line="360" w:lineRule="auto"/>
              <w:ind w:firstLine="420" w:firstLineChars="200"/>
              <w:rPr>
                <w:rFonts w:ascii="宋体" w:hAnsi="宋体" w:cs="宋体"/>
                <w:b w:val="0"/>
                <w:bCs/>
                <w:color w:val="auto"/>
                <w:kern w:val="0"/>
                <w:szCs w:val="21"/>
              </w:rPr>
            </w:pPr>
            <w:r>
              <w:rPr>
                <w:rFonts w:hint="eastAsia" w:ascii="宋体" w:hAnsi="宋体" w:cs="宋体"/>
                <w:b w:val="0"/>
                <w:bCs/>
                <w:color w:val="auto"/>
                <w:kern w:val="0"/>
                <w:szCs w:val="21"/>
              </w:rPr>
              <w:t xml:space="preserve"> </w:t>
            </w:r>
            <w:r>
              <w:rPr>
                <w:rFonts w:hint="eastAsia" w:ascii="宋体" w:hAnsi="宋体" w:cs="宋体"/>
                <w:b w:val="0"/>
                <w:bCs/>
                <w:color w:val="auto"/>
                <w:kern w:val="0"/>
                <w:sz w:val="24"/>
                <w:szCs w:val="24"/>
              </w:rPr>
              <w:t>2、风险潜势判断</w:t>
            </w:r>
          </w:p>
          <w:p>
            <w:pPr>
              <w:keepNext/>
              <w:keepLines/>
              <w:pageBreakBefore w:val="0"/>
              <w:widowControl/>
              <w:kinsoku/>
              <w:overflowPunct/>
              <w:bidi w:val="0"/>
              <w:spacing w:line="360" w:lineRule="auto"/>
              <w:ind w:firstLine="480"/>
              <w:rPr>
                <w:rFonts w:ascii="宋体" w:hAnsi="宋体" w:cs="宋体"/>
                <w:color w:val="auto"/>
                <w:sz w:val="24"/>
                <w:szCs w:val="24"/>
              </w:rPr>
            </w:pPr>
            <w:r>
              <w:rPr>
                <w:rFonts w:hint="eastAsia" w:ascii="宋体" w:hAnsi="宋体" w:cs="宋体"/>
                <w:b/>
                <w:color w:val="auto"/>
                <w:kern w:val="0"/>
                <w:szCs w:val="21"/>
              </w:rPr>
              <w:t xml:space="preserve"> </w:t>
            </w:r>
            <w:r>
              <w:rPr>
                <w:rFonts w:hint="eastAsia" w:ascii="宋体" w:hAnsi="宋体" w:cs="宋体"/>
                <w:color w:val="auto"/>
                <w:kern w:val="0"/>
                <w:sz w:val="24"/>
                <w:szCs w:val="24"/>
              </w:rPr>
              <w:t>根据上述计算，本项目Q＜1，判断本项目风险潜势为Ⅰ级。</w:t>
            </w:r>
          </w:p>
          <w:p>
            <w:pPr>
              <w:keepNext/>
              <w:keepLines/>
              <w:pageBreakBefore w:val="0"/>
              <w:widowControl w:val="0"/>
              <w:overflowPunct/>
              <w:bidi w:val="0"/>
              <w:spacing w:line="360" w:lineRule="auto"/>
              <w:ind w:firstLine="480" w:firstLineChars="200"/>
              <w:jc w:val="both"/>
              <w:outlineLvl w:val="3"/>
              <w:rPr>
                <w:rFonts w:ascii="Times New Roman" w:hAnsi="Times New Roman" w:eastAsia="宋体" w:cs="Times New Roman"/>
                <w:b w:val="0"/>
                <w:bCs w:val="0"/>
                <w:color w:val="auto"/>
                <w:kern w:val="2"/>
                <w:sz w:val="24"/>
                <w:szCs w:val="28"/>
                <w:lang w:val="en-US" w:eastAsia="zh-CN" w:bidi="ar-SA"/>
              </w:rPr>
            </w:pPr>
            <w:bookmarkStart w:id="13" w:name="_Toc23579"/>
            <w:bookmarkStart w:id="14" w:name="_Toc12422"/>
            <w:bookmarkStart w:id="15" w:name="_Toc24101"/>
            <w:bookmarkStart w:id="16" w:name="_Toc17004"/>
            <w:r>
              <w:rPr>
                <w:rFonts w:hint="eastAsia" w:cs="Times New Roman"/>
                <w:b w:val="0"/>
                <w:bCs w:val="0"/>
                <w:color w:val="auto"/>
                <w:kern w:val="2"/>
                <w:sz w:val="24"/>
                <w:szCs w:val="28"/>
                <w:lang w:val="en-US" w:eastAsia="zh-CN" w:bidi="ar-SA"/>
              </w:rPr>
              <w:t>（3）</w:t>
            </w:r>
            <w:r>
              <w:rPr>
                <w:rFonts w:hint="eastAsia" w:ascii="Times New Roman" w:hAnsi="Times New Roman" w:eastAsia="宋体" w:cs="Times New Roman"/>
                <w:b w:val="0"/>
                <w:bCs w:val="0"/>
                <w:color w:val="auto"/>
                <w:kern w:val="2"/>
                <w:sz w:val="24"/>
                <w:szCs w:val="28"/>
                <w:lang w:val="en-US" w:eastAsia="zh-CN" w:bidi="ar-SA"/>
              </w:rPr>
              <w:t>评价工作等级</w:t>
            </w:r>
            <w:bookmarkEnd w:id="13"/>
            <w:bookmarkEnd w:id="14"/>
            <w:bookmarkEnd w:id="15"/>
            <w:bookmarkEnd w:id="16"/>
          </w:p>
          <w:p>
            <w:pPr>
              <w:keepNext/>
              <w:keepLines/>
              <w:pageBreakBefore w:val="0"/>
              <w:widowControl/>
              <w:kinsoku/>
              <w:overflowPunct/>
              <w:bidi w:val="0"/>
              <w:spacing w:line="360" w:lineRule="auto"/>
              <w:ind w:right="44" w:rightChars="21" w:firstLine="480" w:firstLineChars="200"/>
              <w:rPr>
                <w:rFonts w:ascii="宋体" w:hAnsi="宋体" w:cs="宋体"/>
                <w:color w:val="auto"/>
                <w:kern w:val="0"/>
                <w:sz w:val="24"/>
                <w:szCs w:val="24"/>
              </w:rPr>
            </w:pPr>
            <w:r>
              <w:rPr>
                <w:rFonts w:hint="eastAsia" w:ascii="宋体" w:hAnsi="宋体" w:cs="宋体"/>
                <w:color w:val="auto"/>
                <w:kern w:val="0"/>
                <w:sz w:val="24"/>
                <w:szCs w:val="24"/>
              </w:rPr>
              <w:t>按照《建设项目环境风险评价技术导则》（HJ169-2018）中的有关规定，风险评价工作等级划分见</w:t>
            </w:r>
            <w:r>
              <w:rPr>
                <w:rFonts w:hint="eastAsia" w:ascii="宋体" w:hAnsi="宋体" w:cs="宋体"/>
                <w:color w:val="auto"/>
                <w:kern w:val="0"/>
                <w:sz w:val="24"/>
                <w:szCs w:val="24"/>
                <w:lang w:val="en-US" w:eastAsia="zh-CN"/>
              </w:rPr>
              <w:t>下表</w:t>
            </w:r>
            <w:r>
              <w:rPr>
                <w:rFonts w:hint="eastAsia" w:ascii="宋体" w:hAnsi="宋体" w:cs="宋体"/>
                <w:color w:val="auto"/>
                <w:kern w:val="0"/>
                <w:sz w:val="24"/>
                <w:szCs w:val="24"/>
              </w:rPr>
              <w:t>。</w:t>
            </w:r>
          </w:p>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表</w:t>
            </w:r>
            <w:r>
              <w:rPr>
                <w:rFonts w:hint="eastAsia" w:ascii="宋体" w:hAnsi="宋体" w:cs="宋体"/>
                <w:b/>
                <w:color w:val="auto"/>
                <w:kern w:val="0"/>
                <w:szCs w:val="21"/>
                <w:lang w:val="en-US" w:eastAsia="zh-CN"/>
              </w:rPr>
              <w:t>4-14</w:t>
            </w:r>
            <w:r>
              <w:rPr>
                <w:rFonts w:hint="eastAsia" w:ascii="宋体" w:hAnsi="宋体" w:cs="宋体"/>
                <w:b/>
                <w:color w:val="auto"/>
                <w:kern w:val="0"/>
                <w:szCs w:val="21"/>
              </w:rPr>
              <w:t xml:space="preserve">   风险评价工作等级划分一览表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8"/>
              <w:gridCol w:w="1607"/>
              <w:gridCol w:w="1607"/>
              <w:gridCol w:w="1607"/>
              <w:gridCol w:w="14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trPr>
              <w:tc>
                <w:tcPr>
                  <w:tcW w:w="1508" w:type="dxa"/>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环境风险潜势</w:t>
                  </w:r>
                </w:p>
              </w:tc>
              <w:tc>
                <w:tcPr>
                  <w:tcW w:w="1607" w:type="dxa"/>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Ⅳ、Ⅳ</w:t>
                  </w:r>
                  <w:r>
                    <w:rPr>
                      <w:rFonts w:hint="eastAsia" w:ascii="宋体" w:hAnsi="宋体" w:cs="宋体"/>
                      <w:b/>
                      <w:color w:val="auto"/>
                      <w:kern w:val="0"/>
                      <w:szCs w:val="21"/>
                      <w:vertAlign w:val="superscript"/>
                    </w:rPr>
                    <w:t>+</w:t>
                  </w:r>
                </w:p>
              </w:tc>
              <w:tc>
                <w:tcPr>
                  <w:tcW w:w="1607" w:type="dxa"/>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Ⅲ</w:t>
                  </w:r>
                </w:p>
              </w:tc>
              <w:tc>
                <w:tcPr>
                  <w:tcW w:w="1607" w:type="dxa"/>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Ⅱ</w:t>
                  </w:r>
                </w:p>
              </w:tc>
              <w:tc>
                <w:tcPr>
                  <w:tcW w:w="1468" w:type="dxa"/>
                </w:tcPr>
                <w:p>
                  <w:pPr>
                    <w:keepNext/>
                    <w:keepLines/>
                    <w:pageBreakBefore w:val="0"/>
                    <w:widowControl/>
                    <w:kinsoku/>
                    <w:overflowPunct/>
                    <w:bidi w:val="0"/>
                    <w:jc w:val="center"/>
                    <w:rPr>
                      <w:rFonts w:ascii="宋体" w:hAnsi="宋体" w:cs="宋体"/>
                      <w:b/>
                      <w:color w:val="auto"/>
                      <w:kern w:val="0"/>
                      <w:szCs w:val="21"/>
                    </w:rPr>
                  </w:pPr>
                  <w:r>
                    <w:rPr>
                      <w:rFonts w:hint="eastAsia" w:ascii="宋体" w:hAnsi="宋体" w:cs="宋体"/>
                      <w:b/>
                      <w:color w:val="auto"/>
                      <w:kern w:val="0"/>
                      <w:szCs w:val="21"/>
                    </w:rPr>
                    <w:t>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08" w:type="dxa"/>
                </w:tcPr>
                <w:p>
                  <w:pPr>
                    <w:keepNext/>
                    <w:keepLines/>
                    <w:pageBreakBefore w:val="0"/>
                    <w:widowControl/>
                    <w:kinsoku/>
                    <w:overflowPunct/>
                    <w:bidi w:val="0"/>
                    <w:jc w:val="center"/>
                    <w:rPr>
                      <w:rFonts w:ascii="宋体" w:hAnsi="宋体" w:cs="宋体"/>
                      <w:color w:val="auto"/>
                      <w:kern w:val="0"/>
                      <w:szCs w:val="21"/>
                    </w:rPr>
                  </w:pPr>
                  <w:r>
                    <w:rPr>
                      <w:rFonts w:hint="eastAsia" w:ascii="宋体" w:hAnsi="宋体" w:cs="宋体"/>
                      <w:color w:val="auto"/>
                      <w:kern w:val="0"/>
                      <w:szCs w:val="21"/>
                    </w:rPr>
                    <w:t>评价工作等级</w:t>
                  </w:r>
                </w:p>
              </w:tc>
              <w:tc>
                <w:tcPr>
                  <w:tcW w:w="1607" w:type="dxa"/>
                </w:tcPr>
                <w:p>
                  <w:pPr>
                    <w:keepNext/>
                    <w:keepLines/>
                    <w:pageBreakBefore w:val="0"/>
                    <w:widowControl/>
                    <w:kinsoku/>
                    <w:overflowPunct/>
                    <w:bidi w:val="0"/>
                    <w:jc w:val="center"/>
                    <w:rPr>
                      <w:rFonts w:ascii="宋体" w:hAnsi="宋体" w:cs="宋体"/>
                      <w:color w:val="auto"/>
                      <w:kern w:val="0"/>
                      <w:szCs w:val="21"/>
                    </w:rPr>
                  </w:pPr>
                  <w:r>
                    <w:rPr>
                      <w:rFonts w:hint="eastAsia" w:ascii="宋体" w:hAnsi="宋体" w:cs="宋体"/>
                      <w:color w:val="auto"/>
                      <w:kern w:val="0"/>
                      <w:szCs w:val="21"/>
                    </w:rPr>
                    <w:t>一</w:t>
                  </w:r>
                </w:p>
              </w:tc>
              <w:tc>
                <w:tcPr>
                  <w:tcW w:w="1607" w:type="dxa"/>
                </w:tcPr>
                <w:p>
                  <w:pPr>
                    <w:keepNext/>
                    <w:keepLines/>
                    <w:pageBreakBefore w:val="0"/>
                    <w:widowControl/>
                    <w:kinsoku/>
                    <w:overflowPunct/>
                    <w:bidi w:val="0"/>
                    <w:jc w:val="center"/>
                    <w:rPr>
                      <w:rFonts w:ascii="宋体" w:hAnsi="宋体" w:cs="宋体"/>
                      <w:color w:val="auto"/>
                      <w:kern w:val="0"/>
                      <w:szCs w:val="21"/>
                    </w:rPr>
                  </w:pPr>
                  <w:r>
                    <w:rPr>
                      <w:rFonts w:hint="eastAsia" w:ascii="宋体" w:hAnsi="宋体" w:cs="宋体"/>
                      <w:color w:val="auto"/>
                      <w:kern w:val="0"/>
                      <w:szCs w:val="21"/>
                    </w:rPr>
                    <w:t>二</w:t>
                  </w:r>
                </w:p>
              </w:tc>
              <w:tc>
                <w:tcPr>
                  <w:tcW w:w="1607" w:type="dxa"/>
                </w:tcPr>
                <w:p>
                  <w:pPr>
                    <w:keepNext/>
                    <w:keepLines/>
                    <w:pageBreakBefore w:val="0"/>
                    <w:widowControl/>
                    <w:kinsoku/>
                    <w:overflowPunct/>
                    <w:bidi w:val="0"/>
                    <w:jc w:val="center"/>
                    <w:rPr>
                      <w:rFonts w:ascii="宋体" w:hAnsi="宋体" w:cs="宋体"/>
                      <w:color w:val="auto"/>
                      <w:kern w:val="0"/>
                      <w:szCs w:val="21"/>
                    </w:rPr>
                  </w:pPr>
                  <w:r>
                    <w:rPr>
                      <w:rFonts w:hint="eastAsia" w:ascii="宋体" w:hAnsi="宋体" w:cs="宋体"/>
                      <w:color w:val="auto"/>
                      <w:kern w:val="0"/>
                      <w:szCs w:val="21"/>
                    </w:rPr>
                    <w:t>三</w:t>
                  </w:r>
                </w:p>
              </w:tc>
              <w:tc>
                <w:tcPr>
                  <w:tcW w:w="1468" w:type="dxa"/>
                </w:tcPr>
                <w:p>
                  <w:pPr>
                    <w:keepNext/>
                    <w:keepLines/>
                    <w:pageBreakBefore w:val="0"/>
                    <w:widowControl/>
                    <w:kinsoku/>
                    <w:overflowPunct/>
                    <w:bidi w:val="0"/>
                    <w:jc w:val="center"/>
                    <w:rPr>
                      <w:rFonts w:ascii="宋体" w:hAnsi="宋体" w:cs="宋体"/>
                      <w:color w:val="auto"/>
                      <w:kern w:val="0"/>
                      <w:szCs w:val="21"/>
                    </w:rPr>
                  </w:pPr>
                  <w:r>
                    <w:rPr>
                      <w:rFonts w:hint="eastAsia" w:ascii="宋体" w:hAnsi="宋体" w:cs="宋体"/>
                      <w:color w:val="auto"/>
                      <w:kern w:val="0"/>
                      <w:szCs w:val="21"/>
                    </w:rPr>
                    <w:t>简单分析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8" w:hRule="atLeast"/>
              </w:trPr>
              <w:tc>
                <w:tcPr>
                  <w:tcW w:w="7797" w:type="dxa"/>
                  <w:gridSpan w:val="5"/>
                </w:tcPr>
                <w:p>
                  <w:pPr>
                    <w:keepNext/>
                    <w:keepLines/>
                    <w:pageBreakBefore w:val="0"/>
                    <w:widowControl/>
                    <w:kinsoku/>
                    <w:overflowPunct/>
                    <w:bidi w:val="0"/>
                    <w:jc w:val="left"/>
                    <w:rPr>
                      <w:rFonts w:ascii="宋体" w:hAnsi="宋体" w:cs="宋体"/>
                      <w:color w:val="auto"/>
                      <w:kern w:val="0"/>
                      <w:szCs w:val="21"/>
                    </w:rPr>
                  </w:pPr>
                  <w:r>
                    <w:rPr>
                      <w:rFonts w:hint="eastAsia" w:ascii="宋体" w:hAnsi="宋体" w:cs="宋体"/>
                      <w:color w:val="auto"/>
                      <w:kern w:val="0"/>
                      <w:szCs w:val="21"/>
                    </w:rPr>
                    <w:t>简单分析是相对于详细评价工作内容而言，在描述危险物质、环境影响途径、环境危害后果、风险防范措施等方面给出定性的说明，具体见附录A。</w:t>
                  </w:r>
                </w:p>
              </w:tc>
            </w:tr>
          </w:tbl>
          <w:p>
            <w:pPr>
              <w:keepNext/>
              <w:keepLines/>
              <w:pageBreakBefore w:val="0"/>
              <w:widowControl/>
              <w:kinsoku/>
              <w:overflowPunct/>
              <w:bidi w:val="0"/>
              <w:spacing w:line="360" w:lineRule="auto"/>
              <w:ind w:firstLine="480"/>
              <w:jc w:val="left"/>
              <w:rPr>
                <w:rFonts w:hint="eastAsia" w:ascii="Times New Roman" w:hAnsi="Times New Roman" w:eastAsia="宋体" w:cs="Times New Roman"/>
                <w:b/>
                <w:bCs/>
                <w:color w:val="auto"/>
                <w:sz w:val="24"/>
                <w:lang w:val="en-US" w:eastAsia="zh-CN" w:bidi="ar-SA"/>
              </w:rPr>
            </w:pPr>
            <w:r>
              <w:rPr>
                <w:rFonts w:hint="eastAsia" w:ascii="宋体" w:hAnsi="宋体" w:cs="宋体"/>
                <w:color w:val="auto"/>
                <w:kern w:val="0"/>
                <w:sz w:val="24"/>
                <w:szCs w:val="24"/>
              </w:rPr>
              <w:t>本项目环境风险潜势为Ⅰ级，确定风险评价工作级别为简单分析，不设置评价范围</w:t>
            </w:r>
            <w:r>
              <w:rPr>
                <w:rFonts w:hint="eastAsia" w:ascii="宋体" w:hAnsi="宋体" w:cs="宋体"/>
                <w:color w:val="auto"/>
                <w:kern w:val="0"/>
                <w:sz w:val="24"/>
                <w:szCs w:val="24"/>
                <w:lang w:val="en-US" w:eastAsia="zh-CN"/>
              </w:rPr>
              <w:t>，无设置环境风险评价范围要求。</w:t>
            </w:r>
          </w:p>
          <w:p>
            <w:pPr>
              <w:pStyle w:val="60"/>
              <w:bidi w:val="0"/>
              <w:ind w:left="0" w:leftChars="0" w:firstLine="480" w:firstLineChars="200"/>
              <w:rPr>
                <w:b w:val="0"/>
                <w:bCs w:val="0"/>
                <w:color w:val="auto"/>
              </w:rPr>
            </w:pPr>
            <w:r>
              <w:rPr>
                <w:rFonts w:hint="eastAsia"/>
                <w:b w:val="0"/>
                <w:bCs w:val="0"/>
                <w:color w:val="auto"/>
                <w:lang w:val="en-US" w:eastAsia="zh-CN"/>
              </w:rPr>
              <w:t>（4）</w:t>
            </w:r>
            <w:r>
              <w:rPr>
                <w:b w:val="0"/>
                <w:bCs w:val="0"/>
                <w:color w:val="auto"/>
              </w:rPr>
              <w:t xml:space="preserve"> 环境影响途径及危害后果</w:t>
            </w:r>
          </w:p>
          <w:p>
            <w:pPr>
              <w:pStyle w:val="60"/>
              <w:bidi w:val="0"/>
              <w:rPr>
                <w:color w:val="auto"/>
              </w:rPr>
            </w:pPr>
            <w:r>
              <w:rPr>
                <w:color w:val="auto"/>
              </w:rPr>
              <w:t>①地表水</w:t>
            </w:r>
          </w:p>
          <w:p>
            <w:pPr>
              <w:pStyle w:val="60"/>
              <w:bidi w:val="0"/>
              <w:rPr>
                <w:color w:val="auto"/>
              </w:rPr>
            </w:pPr>
            <w:r>
              <w:rPr>
                <w:color w:val="auto"/>
              </w:rPr>
              <w:t>A. 当发生火灾事故时，在火灾、爆炸的灭火过程中，消防喷水会产生废水，若直接通过市政雨水或污水管网进入纳污水体或市政污水处理厂，含高浓度的消防排水势必对水体造成不利的影响，进入污水处理厂则可能因冲击负荷过大，造成污水处理厂处理设施的停运，导致严重污染环境的后果；</w:t>
            </w:r>
          </w:p>
          <w:p>
            <w:pPr>
              <w:pStyle w:val="60"/>
              <w:bidi w:val="0"/>
              <w:rPr>
                <w:color w:val="auto"/>
              </w:rPr>
            </w:pPr>
            <w:r>
              <w:rPr>
                <w:color w:val="auto"/>
              </w:rPr>
              <w:t>B.本项目存储的实验试剂及各类危险废物涉及环境风险物质，当发生环境风险物质泄漏时，如果处理不当，也可能会通过市政雨水或污水管网进入纳污水体或市政污水处理厂，造成相同后果。</w:t>
            </w:r>
          </w:p>
          <w:p>
            <w:pPr>
              <w:pStyle w:val="60"/>
              <w:bidi w:val="0"/>
              <w:rPr>
                <w:color w:val="auto"/>
              </w:rPr>
            </w:pPr>
            <w:r>
              <w:rPr>
                <w:color w:val="auto"/>
              </w:rPr>
              <w:t>②大气</w:t>
            </w:r>
          </w:p>
          <w:p>
            <w:pPr>
              <w:pStyle w:val="60"/>
              <w:bidi w:val="0"/>
              <w:rPr>
                <w:color w:val="auto"/>
              </w:rPr>
            </w:pPr>
            <w:r>
              <w:rPr>
                <w:color w:val="auto"/>
              </w:rPr>
              <w:t>项目若发生火灾事故时，建筑墙体、设备燃烧爆炸等会产生二氧化硫、一氧化碳、有机废气有毒有害物质，同时项目内的火灾产生的颗粒物会飞扬，气体排放随风向外扩散，在不利风向时，周围</w:t>
            </w:r>
            <w:r>
              <w:rPr>
                <w:rFonts w:hint="eastAsia"/>
                <w:color w:val="auto"/>
                <w:lang w:val="en-US" w:eastAsia="zh-CN"/>
              </w:rPr>
              <w:t>人群</w:t>
            </w:r>
            <w:r>
              <w:rPr>
                <w:color w:val="auto"/>
              </w:rPr>
              <w:t>会</w:t>
            </w:r>
            <w:r>
              <w:rPr>
                <w:rFonts w:hint="eastAsia"/>
                <w:color w:val="auto"/>
                <w:lang w:val="en-US" w:eastAsia="zh-CN"/>
              </w:rPr>
              <w:t>和校内师生</w:t>
            </w:r>
            <w:r>
              <w:rPr>
                <w:color w:val="auto"/>
              </w:rPr>
              <w:t>受到不同程度的影响。</w:t>
            </w:r>
          </w:p>
          <w:p>
            <w:pPr>
              <w:pStyle w:val="60"/>
              <w:bidi w:val="0"/>
              <w:rPr>
                <w:color w:val="auto"/>
              </w:rPr>
            </w:pPr>
            <w:r>
              <w:rPr>
                <w:color w:val="auto"/>
              </w:rPr>
              <w:t>③地下水</w:t>
            </w:r>
          </w:p>
          <w:p>
            <w:pPr>
              <w:pStyle w:val="60"/>
              <w:bidi w:val="0"/>
              <w:rPr>
                <w:rFonts w:hint="eastAsia" w:ascii="Times New Roman" w:hAnsi="Times New Roman" w:eastAsia="宋体" w:cs="Times New Roman"/>
                <w:b/>
                <w:bCs/>
                <w:color w:val="auto"/>
                <w:sz w:val="24"/>
                <w:lang w:val="en-US" w:eastAsia="zh-CN" w:bidi="ar-SA"/>
              </w:rPr>
            </w:pPr>
            <w:r>
              <w:rPr>
                <w:color w:val="auto"/>
              </w:rPr>
              <w:t>实验试剂存储于实验室内，</w:t>
            </w:r>
            <w:r>
              <w:rPr>
                <w:rFonts w:hint="eastAsia"/>
                <w:color w:val="auto"/>
                <w:lang w:val="en-US" w:eastAsia="zh-CN"/>
              </w:rPr>
              <w:t>储存量很小，</w:t>
            </w:r>
            <w:r>
              <w:rPr>
                <w:color w:val="auto"/>
              </w:rPr>
              <w:t>故对地下水影响不大</w:t>
            </w:r>
            <w:r>
              <w:rPr>
                <w:rFonts w:hint="eastAsia"/>
                <w:color w:val="auto"/>
                <w:lang w:eastAsia="zh-CN"/>
              </w:rPr>
              <w:t>；</w:t>
            </w:r>
            <w:r>
              <w:rPr>
                <w:rFonts w:hint="eastAsia"/>
                <w:color w:val="auto"/>
                <w:lang w:val="en-US" w:eastAsia="zh-CN"/>
              </w:rPr>
              <w:t>主要风险为实验室废水处理装置渗漏，导致酸性和碱性废水直接排入地下水，造成地下水污染</w:t>
            </w:r>
            <w:r>
              <w:rPr>
                <w:color w:val="auto"/>
              </w:rPr>
              <w:t>。</w:t>
            </w:r>
          </w:p>
          <w:p>
            <w:pPr>
              <w:keepNext/>
              <w:keepLines/>
              <w:wordWrap w:val="0"/>
              <w:topLinePunct/>
              <w:bidi w:val="0"/>
              <w:spacing w:line="360" w:lineRule="auto"/>
              <w:ind w:left="0" w:leftChars="0" w:firstLine="480" w:firstLineChars="200"/>
              <w:rPr>
                <w:rFonts w:ascii="Times New Roman" w:hAnsi="Times New Roman" w:eastAsia="宋体" w:cs="Times New Roman"/>
                <w:b w:val="0"/>
                <w:bCs w:val="0"/>
                <w:color w:val="auto"/>
                <w:sz w:val="24"/>
                <w:lang w:val="en-US" w:eastAsia="zh-CN" w:bidi="ar-SA"/>
              </w:rPr>
            </w:pPr>
            <w:r>
              <w:rPr>
                <w:rFonts w:hint="eastAsia" w:cs="Times New Roman"/>
                <w:b w:val="0"/>
                <w:bCs w:val="0"/>
                <w:color w:val="auto"/>
                <w:sz w:val="24"/>
                <w:lang w:val="en-US" w:eastAsia="zh-CN" w:bidi="ar-SA"/>
              </w:rPr>
              <w:t>（5）</w:t>
            </w:r>
            <w:r>
              <w:rPr>
                <w:rFonts w:hint="eastAsia" w:ascii="Times New Roman" w:hAnsi="Times New Roman" w:eastAsia="宋体" w:cs="Times New Roman"/>
                <w:b w:val="0"/>
                <w:bCs w:val="0"/>
                <w:color w:val="auto"/>
                <w:sz w:val="24"/>
                <w:lang w:val="en-US" w:eastAsia="zh-CN" w:bidi="ar-SA"/>
              </w:rPr>
              <w:t xml:space="preserve">本项目环境风险防范措施 </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A.建立健全的突发环境事故应急组织机构，同时加强相关知识培训、提高安全意识，制定具体的现场处置方案，定期组织应急演练；</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B.加强现场管理，定期检查维护项目内电气设施，项目内配备充足有效的火警报警系统 及灭火器材，防止由于火灾导致的突发环境事故的发生，设置消防通道，消防通道不得堵塞， 消防泵可随时开机使用；</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C.按规定设置好</w:t>
            </w:r>
            <w:r>
              <w:rPr>
                <w:rFonts w:hint="eastAsia" w:cs="Times New Roman"/>
                <w:color w:val="auto"/>
                <w:sz w:val="24"/>
                <w:lang w:val="en-US" w:eastAsia="zh-CN" w:bidi="ar-SA"/>
              </w:rPr>
              <w:t>危废暂存间、做好防渗措施</w:t>
            </w:r>
            <w:r>
              <w:rPr>
                <w:rFonts w:hint="eastAsia" w:ascii="Times New Roman" w:hAnsi="Times New Roman" w:eastAsia="宋体" w:cs="Times New Roman"/>
                <w:color w:val="auto"/>
                <w:sz w:val="24"/>
                <w:lang w:val="en-US" w:eastAsia="zh-CN" w:bidi="ar-SA"/>
              </w:rPr>
              <w:t>；</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D.在雨污管网总排口处设置截流阀；</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E.项目内配备充足的消防沙袋等应急物资；</w:t>
            </w:r>
          </w:p>
          <w:p>
            <w:pPr>
              <w:keepNext/>
              <w:keepLines/>
              <w:wordWrap w:val="0"/>
              <w:topLinePunct/>
              <w:bidi w:val="0"/>
              <w:spacing w:line="360" w:lineRule="auto"/>
              <w:ind w:firstLine="480" w:firstLineChars="200"/>
              <w:rPr>
                <w:rFonts w:hint="eastAsia"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F.加强人员培训，强化安全意识；</w:t>
            </w:r>
          </w:p>
          <w:p>
            <w:pPr>
              <w:keepNext/>
              <w:keepLines/>
              <w:wordWrap w:val="0"/>
              <w:topLinePunct/>
              <w:bidi w:val="0"/>
              <w:spacing w:line="360" w:lineRule="auto"/>
              <w:ind w:firstLine="480" w:firstLineChars="200"/>
              <w:rPr>
                <w:rFonts w:ascii="Times New Roman" w:hAnsi="Times New Roman" w:eastAsia="宋体" w:cs="Times New Roman"/>
                <w:color w:val="auto"/>
                <w:sz w:val="24"/>
                <w:lang w:val="en-US" w:eastAsia="zh-CN" w:bidi="ar-SA"/>
              </w:rPr>
            </w:pPr>
            <w:r>
              <w:rPr>
                <w:rFonts w:hint="eastAsia" w:ascii="Times New Roman" w:hAnsi="Times New Roman" w:eastAsia="宋体" w:cs="Times New Roman"/>
                <w:color w:val="auto"/>
                <w:sz w:val="24"/>
                <w:lang w:val="en-US" w:eastAsia="zh-CN" w:bidi="ar-SA"/>
              </w:rPr>
              <w:t>G.对应急器材应定期检查、保养。</w:t>
            </w:r>
          </w:p>
          <w:p>
            <w:pPr>
              <w:spacing w:line="360" w:lineRule="auto"/>
              <w:ind w:firstLine="480" w:firstLineChars="200"/>
              <w:rPr>
                <w:rFonts w:ascii="Times New Roman" w:hAnsi="Calibri" w:cs="宋体"/>
                <w:color w:val="auto"/>
                <w:sz w:val="24"/>
                <w:lang w:bidi="ar"/>
              </w:rPr>
            </w:pPr>
            <w:r>
              <w:rPr>
                <w:rFonts w:ascii="宋体" w:hAnsi="宋体" w:cs="宋体"/>
                <w:color w:val="auto"/>
                <w:sz w:val="24"/>
                <w:lang w:bidi="ar"/>
              </w:rPr>
              <w:t>因此，在各环境风险防范措施落实到位的情况下，项目环境风险可大大降低，最大程度减少对环境可能造成的危害。</w:t>
            </w:r>
          </w:p>
          <w:p>
            <w:pPr>
              <w:spacing w:line="360" w:lineRule="auto"/>
              <w:ind w:firstLine="480" w:firstLineChars="200"/>
              <w:rPr>
                <w:rFonts w:ascii="宋体" w:hAnsi="宋体" w:cs="Times New Roman"/>
                <w:b w:val="0"/>
                <w:bCs w:val="0"/>
                <w:color w:val="auto"/>
                <w:sz w:val="24"/>
              </w:rPr>
            </w:pPr>
            <w:r>
              <w:rPr>
                <w:rFonts w:hint="eastAsia" w:ascii="宋体" w:hAnsi="宋体" w:cs="Times New Roman"/>
                <w:b w:val="0"/>
                <w:bCs w:val="0"/>
                <w:color w:val="auto"/>
                <w:sz w:val="24"/>
                <w:lang w:val="en-US" w:eastAsia="zh-CN"/>
              </w:rPr>
              <w:t>（6）</w:t>
            </w:r>
            <w:r>
              <w:rPr>
                <w:rFonts w:ascii="宋体" w:hAnsi="宋体" w:cs="Times New Roman"/>
                <w:b w:val="0"/>
                <w:bCs w:val="0"/>
                <w:color w:val="auto"/>
                <w:sz w:val="24"/>
              </w:rPr>
              <w:t>分析结论</w:t>
            </w:r>
          </w:p>
          <w:p>
            <w:pPr>
              <w:spacing w:line="360" w:lineRule="auto"/>
              <w:ind w:firstLine="480" w:firstLineChars="200"/>
              <w:rPr>
                <w:rFonts w:ascii="Times New Roman" w:hAnsi="Calibri" w:cs="宋体"/>
                <w:color w:val="auto"/>
                <w:sz w:val="24"/>
                <w:lang w:bidi="ar"/>
              </w:rPr>
            </w:pPr>
            <w:r>
              <w:rPr>
                <w:rFonts w:ascii="Times New Roman" w:hAnsi="Calibri" w:cs="宋体"/>
                <w:color w:val="auto"/>
                <w:sz w:val="24"/>
                <w:lang w:bidi="ar"/>
              </w:rPr>
              <w:t>本项目在认真落实项目</w:t>
            </w:r>
            <w:r>
              <w:rPr>
                <w:rFonts w:hint="eastAsia" w:ascii="Times New Roman" w:hAnsi="Calibri" w:cs="宋体"/>
                <w:color w:val="auto"/>
                <w:sz w:val="24"/>
                <w:lang w:val="en-US" w:eastAsia="zh-CN" w:bidi="ar"/>
              </w:rPr>
              <w:t>设计</w:t>
            </w:r>
            <w:r>
              <w:rPr>
                <w:rFonts w:ascii="Times New Roman" w:hAnsi="Calibri" w:cs="宋体"/>
                <w:color w:val="auto"/>
                <w:sz w:val="24"/>
                <w:lang w:bidi="ar"/>
              </w:rPr>
              <w:t>以及环评建议的风险防范措施后，项目环境风险可控，在可接受的范围内。建设单位必须予以高度重视，采取有效的防范、减缓措施，强化安全管理</w:t>
            </w:r>
            <w:r>
              <w:rPr>
                <w:rFonts w:hint="eastAsia" w:ascii="Times New Roman" w:hAnsi="Calibri" w:cs="宋体"/>
                <w:color w:val="auto"/>
                <w:sz w:val="24"/>
                <w:lang w:bidi="ar"/>
              </w:rPr>
              <w:t>。</w:t>
            </w:r>
            <w:r>
              <w:rPr>
                <w:rFonts w:ascii="Times New Roman" w:hAnsi="Calibri" w:cs="宋体"/>
                <w:color w:val="auto"/>
                <w:sz w:val="24"/>
                <w:lang w:bidi="ar"/>
              </w:rPr>
              <w:t>建设项目环境风险简单分析内容表见下表</w:t>
            </w:r>
            <w:r>
              <w:rPr>
                <w:rFonts w:hint="eastAsia" w:ascii="Times New Roman" w:hAnsi="Calibri" w:cs="宋体"/>
                <w:color w:val="auto"/>
                <w:sz w:val="24"/>
                <w:lang w:bidi="ar"/>
              </w:rPr>
              <w:t>。</w:t>
            </w:r>
          </w:p>
          <w:p>
            <w:pPr>
              <w:adjustRightInd w:val="0"/>
              <w:snapToGrid w:val="0"/>
              <w:jc w:val="center"/>
              <w:rPr>
                <w:rFonts w:ascii="Times New Roman" w:hAnsi="Times New Roman" w:cs="Times New Roman"/>
                <w:b/>
                <w:bCs/>
                <w:color w:val="auto"/>
                <w:sz w:val="24"/>
                <w:szCs w:val="24"/>
                <w:lang w:val="en-GB"/>
              </w:rPr>
            </w:pPr>
            <w:r>
              <w:rPr>
                <w:rFonts w:ascii="Times New Roman" w:hAnsi="Times New Roman" w:cs="Times New Roman"/>
                <w:b/>
                <w:bCs/>
                <w:color w:val="auto"/>
                <w:sz w:val="24"/>
                <w:szCs w:val="24"/>
                <w:lang w:val="en-GB"/>
              </w:rPr>
              <w:t>表4</w:t>
            </w:r>
            <w:r>
              <w:rPr>
                <w:rFonts w:hint="eastAsia" w:cs="Times New Roman"/>
                <w:b/>
                <w:bCs/>
                <w:color w:val="auto"/>
                <w:sz w:val="24"/>
                <w:szCs w:val="24"/>
                <w:lang w:val="en-US" w:eastAsia="zh-CN"/>
              </w:rPr>
              <w:t>-15</w:t>
            </w:r>
            <w:r>
              <w:rPr>
                <w:rFonts w:ascii="Times New Roman" w:hAnsi="Times New Roman" w:cs="Times New Roman"/>
                <w:b/>
                <w:bCs/>
                <w:color w:val="auto"/>
                <w:sz w:val="24"/>
                <w:szCs w:val="24"/>
                <w:lang w:val="en-GB"/>
              </w:rPr>
              <w:t xml:space="preserve">  </w:t>
            </w:r>
            <w:r>
              <w:rPr>
                <w:rFonts w:hint="eastAsia" w:ascii="Times New Roman" w:hAnsi="Times New Roman" w:cs="Times New Roman"/>
                <w:b/>
                <w:bCs/>
                <w:color w:val="auto"/>
                <w:sz w:val="24"/>
                <w:szCs w:val="24"/>
                <w:lang w:val="en-GB"/>
              </w:rPr>
              <w:t>建设项目环境风险简单分析内容表</w:t>
            </w:r>
          </w:p>
          <w:tbl>
            <w:tblPr>
              <w:tblStyle w:val="22"/>
              <w:tblW w:w="7931" w:type="dxa"/>
              <w:tblInd w:w="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61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建设项目名称</w:t>
                  </w:r>
                </w:p>
              </w:tc>
              <w:tc>
                <w:tcPr>
                  <w:tcW w:w="6124" w:type="dxa"/>
                  <w:tcBorders>
                    <w:tl2br w:val="nil"/>
                    <w:tr2bl w:val="nil"/>
                  </w:tcBorders>
                  <w:vAlign w:val="center"/>
                </w:tcPr>
                <w:p>
                  <w:pPr>
                    <w:pStyle w:val="28"/>
                    <w:bidi w:val="0"/>
                    <w:rPr>
                      <w:color w:val="auto"/>
                      <w:lang w:val="en-GB" w:eastAsia="zh-CN" w:bidi="ar-SA"/>
                    </w:rPr>
                  </w:pPr>
                  <w:r>
                    <w:rPr>
                      <w:rFonts w:hint="eastAsia" w:ascii="宋体" w:hAnsi="宋体" w:cs="宋体"/>
                      <w:color w:val="auto"/>
                      <w:szCs w:val="21"/>
                      <w:lang w:val="en-US" w:eastAsia="zh-CN" w:bidi="ar-SA"/>
                    </w:rPr>
                    <w:t>果洛海东中学建设项目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建设地点</w:t>
                  </w:r>
                </w:p>
              </w:tc>
              <w:tc>
                <w:tcPr>
                  <w:tcW w:w="6124" w:type="dxa"/>
                  <w:tcBorders>
                    <w:tl2br w:val="nil"/>
                    <w:tr2bl w:val="nil"/>
                  </w:tcBorders>
                  <w:vAlign w:val="center"/>
                </w:tcPr>
                <w:p>
                  <w:pPr>
                    <w:keepNext/>
                    <w:keepLines/>
                    <w:pageBreakBefore w:val="0"/>
                    <w:widowControl w:val="0"/>
                    <w:kinsoku/>
                    <w:wordWrap/>
                    <w:overflowPunct/>
                    <w:topLinePunct w:val="0"/>
                    <w:bidi w:val="0"/>
                    <w:adjustRightInd w:val="0"/>
                    <w:snapToGrid w:val="0"/>
                    <w:jc w:val="center"/>
                    <w:textAlignment w:val="auto"/>
                    <w:rPr>
                      <w:color w:val="auto"/>
                      <w:lang w:val="en-GB" w:eastAsia="zh-CN" w:bidi="ar-SA"/>
                    </w:rPr>
                  </w:pPr>
                  <w:r>
                    <w:rPr>
                      <w:rFonts w:hint="eastAsia" w:ascii="宋体" w:hAnsi="宋体" w:cs="宋体"/>
                      <w:color w:val="auto"/>
                      <w:szCs w:val="21"/>
                      <w:lang w:val="en-US" w:eastAsia="zh-CN"/>
                    </w:rPr>
                    <w:t>海东市乐都区水磨营大桥以东，东岗二路以西，复兴路以南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地理坐标</w:t>
                  </w:r>
                </w:p>
              </w:tc>
              <w:tc>
                <w:tcPr>
                  <w:tcW w:w="6124" w:type="dxa"/>
                  <w:tcBorders>
                    <w:tl2br w:val="nil"/>
                    <w:tr2bl w:val="nil"/>
                  </w:tcBorders>
                  <w:vAlign w:val="center"/>
                </w:tcPr>
                <w:p>
                  <w:pPr>
                    <w:keepNext/>
                    <w:keepLines/>
                    <w:pageBreakBefore w:val="0"/>
                    <w:widowControl w:val="0"/>
                    <w:kinsoku/>
                    <w:wordWrap/>
                    <w:overflowPunct/>
                    <w:topLinePunct w:val="0"/>
                    <w:bidi w:val="0"/>
                    <w:adjustRightInd w:val="0"/>
                    <w:snapToGrid w:val="0"/>
                    <w:jc w:val="center"/>
                    <w:textAlignment w:val="auto"/>
                    <w:rPr>
                      <w:color w:val="auto"/>
                      <w:lang w:val="en-GB" w:eastAsia="zh-CN" w:bidi="ar-SA"/>
                    </w:rPr>
                  </w:pPr>
                  <w:r>
                    <w:rPr>
                      <w:rFonts w:hint="eastAsia" w:ascii="宋体" w:hAnsi="宋体" w:cs="宋体"/>
                      <w:color w:val="auto"/>
                      <w:szCs w:val="21"/>
                      <w:highlight w:val="none"/>
                    </w:rPr>
                    <w:t>（</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102</w:t>
                  </w:r>
                  <w:r>
                    <w:rPr>
                      <w:rFonts w:hint="eastAsia" w:ascii="宋体" w:hAnsi="宋体" w:cs="宋体"/>
                      <w:color w:val="auto"/>
                      <w:szCs w:val="21"/>
                      <w:highlight w:val="none"/>
                    </w:rPr>
                    <w:t>度</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25</w:t>
                  </w:r>
                  <w:r>
                    <w:rPr>
                      <w:rFonts w:ascii="宋体" w:hAnsi="宋体" w:cs="宋体"/>
                      <w:color w:val="auto"/>
                      <w:szCs w:val="21"/>
                      <w:highlight w:val="none"/>
                      <w:u w:val="single"/>
                    </w:rPr>
                    <w:t xml:space="preserve"> </w:t>
                  </w:r>
                  <w:r>
                    <w:rPr>
                      <w:rFonts w:hint="eastAsia" w:ascii="宋体" w:hAnsi="宋体" w:cs="宋体"/>
                      <w:color w:val="auto"/>
                      <w:szCs w:val="21"/>
                      <w:highlight w:val="none"/>
                    </w:rPr>
                    <w:t>分</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48.3873</w:t>
                  </w:r>
                  <w:r>
                    <w:rPr>
                      <w:rFonts w:hint="eastAsia" w:ascii="宋体" w:hAnsi="宋体" w:cs="宋体"/>
                      <w:color w:val="auto"/>
                      <w:szCs w:val="21"/>
                      <w:highlight w:val="none"/>
                    </w:rPr>
                    <w:t>秒，</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36</w:t>
                  </w:r>
                  <w:r>
                    <w:rPr>
                      <w:rFonts w:ascii="宋体" w:hAnsi="宋体" w:cs="宋体"/>
                      <w:color w:val="auto"/>
                      <w:szCs w:val="21"/>
                      <w:highlight w:val="none"/>
                      <w:u w:val="single"/>
                    </w:rPr>
                    <w:t xml:space="preserve"> </w:t>
                  </w:r>
                  <w:r>
                    <w:rPr>
                      <w:rFonts w:hint="eastAsia" w:ascii="宋体" w:hAnsi="宋体" w:cs="宋体"/>
                      <w:color w:val="auto"/>
                      <w:szCs w:val="21"/>
                      <w:highlight w:val="none"/>
                    </w:rPr>
                    <w:t>度</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28</w:t>
                  </w:r>
                  <w:r>
                    <w:rPr>
                      <w:rFonts w:hint="eastAsia" w:ascii="宋体" w:hAnsi="宋体" w:cs="宋体"/>
                      <w:color w:val="auto"/>
                      <w:szCs w:val="21"/>
                      <w:highlight w:val="none"/>
                    </w:rPr>
                    <w:t>分</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23.8860</w:t>
                  </w:r>
                  <w:r>
                    <w:rPr>
                      <w:rFonts w:ascii="宋体" w:hAnsi="宋体" w:cs="宋体"/>
                      <w:color w:val="auto"/>
                      <w:szCs w:val="21"/>
                      <w:highlight w:val="none"/>
                      <w:u w:val="single"/>
                    </w:rPr>
                    <w:t xml:space="preserve"> </w:t>
                  </w:r>
                  <w:r>
                    <w:rPr>
                      <w:rFonts w:hint="eastAsia" w:ascii="宋体" w:hAnsi="宋体" w:cs="宋体"/>
                      <w:color w:val="auto"/>
                      <w:szCs w:val="21"/>
                      <w:highlight w:val="none"/>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主要危险物质及分布</w:t>
                  </w:r>
                </w:p>
              </w:tc>
              <w:tc>
                <w:tcPr>
                  <w:tcW w:w="6124" w:type="dxa"/>
                  <w:tcBorders>
                    <w:tl2br w:val="nil"/>
                    <w:tr2bl w:val="nil"/>
                  </w:tcBorders>
                  <w:vAlign w:val="center"/>
                </w:tcPr>
                <w:p>
                  <w:pPr>
                    <w:pStyle w:val="28"/>
                    <w:bidi w:val="0"/>
                    <w:rPr>
                      <w:color w:val="auto"/>
                      <w:lang w:val="en-GB" w:eastAsia="zh-CN" w:bidi="ar-SA"/>
                    </w:rPr>
                  </w:pPr>
                  <w:r>
                    <w:rPr>
                      <w:color w:val="auto"/>
                      <w:lang w:val="en-US" w:eastAsia="zh-CN" w:bidi="ar-SA"/>
                    </w:rPr>
                    <w:t>本项目主要</w:t>
                  </w:r>
                  <w:r>
                    <w:rPr>
                      <w:rFonts w:hint="eastAsia"/>
                      <w:color w:val="auto"/>
                      <w:lang w:val="en-US" w:eastAsia="zh-CN" w:bidi="ar-SA"/>
                    </w:rPr>
                    <w:t>为酸性试剂、其他环保设施失效、泄漏等环境风险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环境影响途径及危害后果</w:t>
                  </w:r>
                </w:p>
              </w:tc>
              <w:tc>
                <w:tcPr>
                  <w:tcW w:w="6124" w:type="dxa"/>
                  <w:tcBorders>
                    <w:tl2br w:val="nil"/>
                    <w:tr2bl w:val="nil"/>
                  </w:tcBorders>
                  <w:vAlign w:val="center"/>
                </w:tcPr>
                <w:p>
                  <w:pPr>
                    <w:pStyle w:val="28"/>
                    <w:bidi w:val="0"/>
                    <w:rPr>
                      <w:color w:val="auto"/>
                      <w:lang w:val="en-US" w:eastAsia="zh-CN" w:bidi="ar-SA"/>
                    </w:rPr>
                  </w:pPr>
                  <w:r>
                    <w:rPr>
                      <w:rFonts w:hint="eastAsia"/>
                      <w:color w:val="auto"/>
                      <w:lang w:val="en-US" w:eastAsia="zh-CN" w:bidi="ar-SA"/>
                    </w:rPr>
                    <w:t>①生活污水和实验室清洗废水</w:t>
                  </w:r>
                  <w:r>
                    <w:rPr>
                      <w:color w:val="auto"/>
                      <w:lang w:val="en-US" w:eastAsia="zh-CN" w:bidi="ar-SA"/>
                    </w:rPr>
                    <w:t>直接排放到</w:t>
                  </w:r>
                  <w:r>
                    <w:rPr>
                      <w:rFonts w:hint="eastAsia"/>
                      <w:color w:val="auto"/>
                      <w:lang w:val="en-US" w:eastAsia="zh-CN" w:bidi="ar-SA"/>
                    </w:rPr>
                    <w:t>外</w:t>
                  </w:r>
                  <w:r>
                    <w:rPr>
                      <w:color w:val="auto"/>
                      <w:lang w:val="en-US" w:eastAsia="zh-CN" w:bidi="ar-SA"/>
                    </w:rPr>
                    <w:t>环境中；还可能通过地面径流经</w:t>
                  </w:r>
                  <w:r>
                    <w:rPr>
                      <w:rFonts w:hint="eastAsia"/>
                      <w:color w:val="auto"/>
                      <w:lang w:val="en-US" w:eastAsia="zh-CN" w:bidi="ar-SA"/>
                    </w:rPr>
                    <w:t>校区内</w:t>
                  </w:r>
                  <w:r>
                    <w:rPr>
                      <w:color w:val="auto"/>
                      <w:lang w:val="en-US" w:eastAsia="zh-CN" w:bidi="ar-SA"/>
                    </w:rPr>
                    <w:t>雨水管网外排至</w:t>
                  </w:r>
                  <w:r>
                    <w:rPr>
                      <w:rFonts w:hint="eastAsia"/>
                      <w:color w:val="auto"/>
                      <w:lang w:val="en-US" w:eastAsia="zh-CN" w:bidi="ar-SA"/>
                    </w:rPr>
                    <w:t>场</w:t>
                  </w:r>
                  <w:r>
                    <w:rPr>
                      <w:color w:val="auto"/>
                      <w:lang w:val="en-US" w:eastAsia="zh-CN" w:bidi="ar-SA"/>
                    </w:rPr>
                    <w:t>外地表水体中，影响地表水环境；对水生生物产生一定程度的影响；</w:t>
                  </w:r>
                </w:p>
                <w:p>
                  <w:pPr>
                    <w:pStyle w:val="28"/>
                    <w:bidi w:val="0"/>
                    <w:rPr>
                      <w:color w:val="auto"/>
                      <w:lang w:val="en-US" w:eastAsia="zh-CN" w:bidi="ar-SA"/>
                    </w:rPr>
                  </w:pPr>
                  <w:r>
                    <w:rPr>
                      <w:rFonts w:hint="eastAsia"/>
                      <w:color w:val="auto"/>
                      <w:lang w:val="en-US" w:eastAsia="zh-CN" w:bidi="ar-SA"/>
                    </w:rPr>
                    <w:t>②危废暂存库</w:t>
                  </w:r>
                  <w:r>
                    <w:rPr>
                      <w:color w:val="auto"/>
                      <w:lang w:val="en-US" w:eastAsia="zh-CN" w:bidi="ar-SA"/>
                    </w:rPr>
                    <w:t>没有做好防雨、防渗、防腐措施，导致发生泄露进入周围环境，具有腐蚀性或遇水具有渗透性的泄漏物通过地面径流经</w:t>
                  </w:r>
                  <w:r>
                    <w:rPr>
                      <w:rFonts w:hint="eastAsia"/>
                      <w:color w:val="auto"/>
                      <w:lang w:val="en-US" w:eastAsia="zh-CN" w:bidi="ar-SA"/>
                    </w:rPr>
                    <w:t>校区</w:t>
                  </w:r>
                  <w:r>
                    <w:rPr>
                      <w:color w:val="auto"/>
                      <w:lang w:val="en-US" w:eastAsia="zh-CN" w:bidi="ar-SA"/>
                    </w:rPr>
                    <w:t>内雨水管网外排至外地表水体中，影响地表水环境，对水生生物产生一定程度的影响；</w:t>
                  </w:r>
                </w:p>
                <w:p>
                  <w:pPr>
                    <w:pStyle w:val="28"/>
                    <w:bidi w:val="0"/>
                    <w:rPr>
                      <w:color w:val="auto"/>
                      <w:lang w:val="en-GB" w:eastAsia="zh-CN" w:bidi="ar-SA"/>
                    </w:rPr>
                  </w:pPr>
                  <w:r>
                    <w:rPr>
                      <w:rFonts w:hint="eastAsia"/>
                      <w:color w:val="auto"/>
                      <w:lang w:val="en-US" w:eastAsia="zh-CN" w:bidi="ar-SA"/>
                    </w:rPr>
                    <w:t>③</w:t>
                  </w:r>
                  <w:r>
                    <w:rPr>
                      <w:color w:val="auto"/>
                      <w:lang w:val="en-US" w:eastAsia="zh-CN" w:bidi="ar-SA"/>
                    </w:rPr>
                    <w:t>当项目</w:t>
                  </w:r>
                  <w:r>
                    <w:rPr>
                      <w:rFonts w:hint="eastAsia"/>
                      <w:color w:val="auto"/>
                      <w:lang w:val="en-US" w:eastAsia="zh-CN" w:bidi="ar-SA"/>
                    </w:rPr>
                    <w:t>校区</w:t>
                  </w:r>
                  <w:r>
                    <w:rPr>
                      <w:color w:val="auto"/>
                      <w:lang w:val="en-US" w:eastAsia="zh-CN" w:bidi="ar-SA"/>
                    </w:rPr>
                    <w:t>内部发生火灾事故时，灭火过程中产生的消防废水未截留在</w:t>
                  </w:r>
                  <w:r>
                    <w:rPr>
                      <w:rFonts w:hint="eastAsia"/>
                      <w:color w:val="auto"/>
                      <w:lang w:val="en-US" w:eastAsia="zh-CN" w:bidi="ar-SA"/>
                    </w:rPr>
                    <w:t>校区</w:t>
                  </w:r>
                  <w:r>
                    <w:rPr>
                      <w:color w:val="auto"/>
                      <w:lang w:val="en-US" w:eastAsia="zh-CN" w:bidi="ar-SA"/>
                    </w:rPr>
                    <w:t>内</w:t>
                  </w:r>
                  <w:r>
                    <w:rPr>
                      <w:rFonts w:hint="eastAsia"/>
                      <w:color w:val="auto"/>
                      <w:lang w:val="en-US" w:eastAsia="zh-CN" w:bidi="ar-SA"/>
                    </w:rPr>
                    <w:t>，</w:t>
                  </w:r>
                  <w:r>
                    <w:rPr>
                      <w:color w:val="auto"/>
                      <w:lang w:val="en-US" w:eastAsia="zh-CN" w:bidi="ar-SA"/>
                    </w:rPr>
                    <w:t>可能会随着地面径流进入雨水管网，直接进入外部水体环境中，污染地表水环境。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07" w:type="dxa"/>
                  <w:tcBorders>
                    <w:tl2br w:val="nil"/>
                    <w:tr2bl w:val="nil"/>
                  </w:tcBorders>
                  <w:vAlign w:val="center"/>
                </w:tcPr>
                <w:p>
                  <w:pPr>
                    <w:pStyle w:val="28"/>
                    <w:bidi w:val="0"/>
                    <w:rPr>
                      <w:color w:val="auto"/>
                      <w:lang w:val="en-GB" w:eastAsia="zh-CN" w:bidi="ar-SA"/>
                    </w:rPr>
                  </w:pPr>
                  <w:r>
                    <w:rPr>
                      <w:rFonts w:hint="eastAsia"/>
                      <w:color w:val="auto"/>
                      <w:lang w:val="en-GB" w:eastAsia="zh-CN" w:bidi="ar-SA"/>
                    </w:rPr>
                    <w:t>风险防范措施要求</w:t>
                  </w:r>
                </w:p>
              </w:tc>
              <w:tc>
                <w:tcPr>
                  <w:tcW w:w="6124" w:type="dxa"/>
                  <w:tcBorders>
                    <w:tl2br w:val="nil"/>
                    <w:tr2bl w:val="nil"/>
                  </w:tcBorders>
                  <w:vAlign w:val="center"/>
                </w:tcPr>
                <w:p>
                  <w:pPr>
                    <w:pStyle w:val="28"/>
                    <w:bidi w:val="0"/>
                    <w:jc w:val="left"/>
                    <w:rPr>
                      <w:color w:val="auto"/>
                      <w:lang w:val="en-US" w:eastAsia="zh-CN" w:bidi="ar-SA"/>
                    </w:rPr>
                  </w:pPr>
                  <w:r>
                    <w:rPr>
                      <w:rFonts w:hint="eastAsia"/>
                      <w:color w:val="auto"/>
                      <w:lang w:val="en-US" w:eastAsia="zh-CN" w:bidi="ar-SA"/>
                    </w:rPr>
                    <w:t>加强现场管理，定期检查维护项目内电气设施，项目内配备充足有效的火警报警系统 及灭火器材，防止由于火灾导致的突发环境事故的发生，设置消防通道，消防通道不得堵塞， 消防泵可随时开机使用</w:t>
                  </w:r>
                  <w:r>
                    <w:rPr>
                      <w:color w:val="auto"/>
                      <w:lang w:val="en-US" w:eastAsia="zh-CN" w:bidi="ar-SA"/>
                    </w:rPr>
                    <w:t>。</w:t>
                  </w:r>
                  <w:r>
                    <w:rPr>
                      <w:rFonts w:hint="eastAsia"/>
                      <w:color w:val="auto"/>
                      <w:lang w:val="en-US" w:eastAsia="zh-CN" w:bidi="ar-SA"/>
                    </w:rPr>
                    <w:t>建立健全的突发环境事故应急组织机构，同时加强相关知识培训、提高安全意识， 制定具体的现场处置方案，定期组织应急演练</w:t>
                  </w:r>
                  <w:r>
                    <w:rPr>
                      <w:color w:val="auto"/>
                      <w:lang w:val="en-US" w:eastAsia="zh-CN" w:bidi="ar-SA"/>
                    </w:rPr>
                    <w:t>；</w:t>
                  </w:r>
                </w:p>
                <w:p>
                  <w:pPr>
                    <w:pStyle w:val="28"/>
                    <w:bidi w:val="0"/>
                    <w:jc w:val="left"/>
                    <w:rPr>
                      <w:rFonts w:hint="eastAsia"/>
                      <w:color w:val="auto"/>
                      <w:lang w:val="en-GB" w:eastAsia="zh-CN" w:bidi="ar-SA"/>
                    </w:rPr>
                  </w:pPr>
                  <w:r>
                    <w:rPr>
                      <w:rFonts w:hint="eastAsia"/>
                      <w:color w:val="auto"/>
                      <w:lang w:val="en-GB" w:eastAsia="zh-CN" w:bidi="ar-SA"/>
                    </w:rPr>
                    <w:t>加强</w:t>
                  </w:r>
                  <w:r>
                    <w:rPr>
                      <w:rFonts w:hint="eastAsia"/>
                      <w:color w:val="auto"/>
                      <w:lang w:val="en-US" w:eastAsia="zh-CN" w:bidi="ar-SA"/>
                    </w:rPr>
                    <w:t>人员</w:t>
                  </w:r>
                  <w:r>
                    <w:rPr>
                      <w:rFonts w:hint="eastAsia"/>
                      <w:color w:val="auto"/>
                      <w:lang w:val="en-GB" w:eastAsia="zh-CN" w:bidi="ar-SA"/>
                    </w:rPr>
                    <w:t>培训，强化安全意识。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31" w:type="dxa"/>
                  <w:gridSpan w:val="2"/>
                  <w:tcBorders>
                    <w:tl2br w:val="nil"/>
                    <w:tr2bl w:val="nil"/>
                  </w:tcBorders>
                  <w:vAlign w:val="center"/>
                </w:tcPr>
                <w:p>
                  <w:pPr>
                    <w:pStyle w:val="28"/>
                    <w:bidi w:val="0"/>
                    <w:rPr>
                      <w:color w:val="auto"/>
                      <w:lang w:val="en-GB" w:eastAsia="zh-CN" w:bidi="ar-SA"/>
                    </w:rPr>
                  </w:pPr>
                  <w:r>
                    <w:rPr>
                      <w:rFonts w:hint="eastAsia"/>
                      <w:color w:val="auto"/>
                      <w:lang w:val="en-GB" w:eastAsia="zh-CN" w:bidi="ar-SA"/>
                    </w:rPr>
                    <w:t>填表说明（列出项目相关信息及评价说明）：/</w:t>
                  </w:r>
                </w:p>
              </w:tc>
            </w:tr>
          </w:tbl>
          <w:p>
            <w:pPr>
              <w:adjustRightInd w:val="0"/>
              <w:snapToGrid w:val="0"/>
              <w:spacing w:line="360" w:lineRule="auto"/>
              <w:ind w:firstLine="482" w:firstLineChars="200"/>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val="en-US" w:eastAsia="zh-CN"/>
                <w14:textFill>
                  <w14:solidFill>
                    <w14:schemeClr w14:val="tx1"/>
                  </w14:solidFill>
                </w14:textFill>
              </w:rPr>
              <w:t>七</w:t>
            </w:r>
            <w:r>
              <w:rPr>
                <w:rFonts w:hint="eastAsia" w:ascii="宋体" w:hAnsi="宋体"/>
                <w:b/>
                <w:bCs/>
                <w:color w:val="000000" w:themeColor="text1"/>
                <w:sz w:val="24"/>
                <w14:textFill>
                  <w14:solidFill>
                    <w14:schemeClr w14:val="tx1"/>
                  </w14:solidFill>
                </w14:textFill>
              </w:rPr>
              <w:t>、环保投资</w:t>
            </w:r>
          </w:p>
          <w:p>
            <w:pPr>
              <w:keepNext/>
              <w:keepLines/>
              <w:pageBreakBefore w:val="0"/>
              <w:bidi w:val="0"/>
              <w:spacing w:line="360" w:lineRule="auto"/>
              <w:ind w:firstLine="480" w:firstLineChars="200"/>
              <w:rPr>
                <w:rFonts w:hint="eastAsia"/>
                <w:color w:val="000000" w:themeColor="text1"/>
                <w:sz w:val="24"/>
                <w:lang w:val="en-GB" w:eastAsia="zh-CN"/>
                <w14:textFill>
                  <w14:solidFill>
                    <w14:schemeClr w14:val="tx1"/>
                  </w14:solidFill>
                </w14:textFill>
              </w:rPr>
            </w:pPr>
            <w:r>
              <w:rPr>
                <w:color w:val="000000" w:themeColor="text1"/>
                <w:sz w:val="24"/>
                <w:lang w:val="en-GB"/>
                <w14:textFill>
                  <w14:solidFill>
                    <w14:schemeClr w14:val="tx1"/>
                  </w14:solidFill>
                </w14:textFill>
              </w:rPr>
              <w:t>本项目总投资</w:t>
            </w:r>
            <w:r>
              <w:rPr>
                <w:rFonts w:hint="eastAsia"/>
                <w:color w:val="000000" w:themeColor="text1"/>
                <w:sz w:val="24"/>
                <w:lang w:val="en-GB" w:eastAsia="zh-CN"/>
                <w14:textFill>
                  <w14:solidFill>
                    <w14:schemeClr w14:val="tx1"/>
                  </w14:solidFill>
                </w14:textFill>
              </w:rPr>
              <w:t>50813</w:t>
            </w:r>
            <w:r>
              <w:rPr>
                <w:color w:val="000000" w:themeColor="text1"/>
                <w:sz w:val="24"/>
                <w:lang w:val="en-GB"/>
                <w14:textFill>
                  <w14:solidFill>
                    <w14:schemeClr w14:val="tx1"/>
                  </w14:solidFill>
                </w14:textFill>
              </w:rPr>
              <w:t>万元，环保投资总额估算为</w:t>
            </w:r>
            <w:r>
              <w:rPr>
                <w:rFonts w:hint="eastAsia"/>
                <w:color w:val="000000" w:themeColor="text1"/>
                <w:sz w:val="24"/>
                <w:lang w:val="en-US" w:eastAsia="zh-CN"/>
                <w14:textFill>
                  <w14:solidFill>
                    <w14:schemeClr w14:val="tx1"/>
                  </w14:solidFill>
                </w14:textFill>
              </w:rPr>
              <w:t>150</w:t>
            </w:r>
            <w:r>
              <w:rPr>
                <w:color w:val="000000" w:themeColor="text1"/>
                <w:sz w:val="24"/>
                <w:lang w:val="en-GB"/>
                <w14:textFill>
                  <w14:solidFill>
                    <w14:schemeClr w14:val="tx1"/>
                  </w14:solidFill>
                </w14:textFill>
              </w:rPr>
              <w:t>万元，占总投资的</w:t>
            </w:r>
            <w:r>
              <w:rPr>
                <w:rFonts w:hint="eastAsia"/>
                <w:color w:val="000000" w:themeColor="text1"/>
                <w:sz w:val="24"/>
                <w:lang w:val="en-US" w:eastAsia="zh-CN"/>
                <w14:textFill>
                  <w14:solidFill>
                    <w14:schemeClr w14:val="tx1"/>
                  </w14:solidFill>
                </w14:textFill>
              </w:rPr>
              <w:t>0.3</w:t>
            </w:r>
            <w:r>
              <w:rPr>
                <w:color w:val="000000" w:themeColor="text1"/>
                <w:sz w:val="24"/>
                <w:lang w:val="en-GB"/>
                <w14:textFill>
                  <w14:solidFill>
                    <w14:schemeClr w14:val="tx1"/>
                  </w14:solidFill>
                </w14:textFill>
              </w:rPr>
              <w:t>%。</w:t>
            </w:r>
            <w:r>
              <w:rPr>
                <w:rFonts w:hint="eastAsia"/>
                <w:color w:val="000000" w:themeColor="text1"/>
                <w:sz w:val="24"/>
                <w:lang w:val="en-GB"/>
                <w14:textFill>
                  <w14:solidFill>
                    <w14:schemeClr w14:val="tx1"/>
                  </w14:solidFill>
                </w14:textFill>
              </w:rPr>
              <w:t>详见下表</w:t>
            </w:r>
            <w:r>
              <w:rPr>
                <w:rFonts w:hint="eastAsia"/>
                <w:color w:val="000000" w:themeColor="text1"/>
                <w:sz w:val="24"/>
                <w:lang w:val="en-GB" w:eastAsia="zh-CN"/>
                <w14:textFill>
                  <w14:solidFill>
                    <w14:schemeClr w14:val="tx1"/>
                  </w14:solidFill>
                </w14:textFill>
              </w:rPr>
              <w:t>。</w:t>
            </w:r>
          </w:p>
          <w:p>
            <w:pPr>
              <w:pStyle w:val="20"/>
              <w:ind w:left="0" w:leftChars="0" w:firstLine="0" w:firstLineChars="0"/>
              <w:jc w:val="center"/>
              <w:rPr>
                <w:rFonts w:hint="default" w:ascii="Times New Roman" w:hAnsi="Times New Roman" w:cs="Times New Roman"/>
                <w:b/>
                <w:bCs/>
                <w:lang w:val="en-US" w:eastAsia="zh-CN"/>
              </w:rPr>
            </w:pPr>
            <w:r>
              <w:rPr>
                <w:rFonts w:hint="default" w:ascii="Times New Roman" w:hAnsi="Times New Roman" w:cs="Times New Roman"/>
                <w:b/>
                <w:bCs/>
                <w:color w:val="000000" w:themeColor="text1"/>
                <w:sz w:val="24"/>
                <w:lang w:val="en-US" w:eastAsia="zh-CN"/>
                <w14:textFill>
                  <w14:solidFill>
                    <w14:schemeClr w14:val="tx1"/>
                  </w14:solidFill>
                </w14:textFill>
              </w:rPr>
              <w:t>表4-1</w:t>
            </w:r>
            <w:r>
              <w:rPr>
                <w:rFonts w:hint="eastAsia" w:cs="Times New Roman"/>
                <w:b/>
                <w:bCs/>
                <w:color w:val="000000" w:themeColor="text1"/>
                <w:sz w:val="24"/>
                <w:lang w:val="en-US" w:eastAsia="zh-CN"/>
                <w14:textFill>
                  <w14:solidFill>
                    <w14:schemeClr w14:val="tx1"/>
                  </w14:solidFill>
                </w14:textFill>
              </w:rPr>
              <w:t>6</w:t>
            </w:r>
            <w:r>
              <w:rPr>
                <w:rFonts w:hint="default" w:ascii="Times New Roman" w:hAnsi="Times New Roman" w:cs="Times New Roman"/>
                <w:b/>
                <w:bCs/>
                <w:color w:val="000000" w:themeColor="text1"/>
                <w:sz w:val="24"/>
                <w:lang w:val="en-US" w:eastAsia="zh-CN"/>
                <w14:textFill>
                  <w14:solidFill>
                    <w14:schemeClr w14:val="tx1"/>
                  </w14:solidFill>
                </w14:textFill>
              </w:rPr>
              <w:t xml:space="preserve"> 环保投资一览表</w:t>
            </w:r>
          </w:p>
          <w:tbl>
            <w:tblPr>
              <w:tblStyle w:val="21"/>
              <w:tblW w:w="498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6"/>
              <w:gridCol w:w="1139"/>
              <w:gridCol w:w="1309"/>
              <w:gridCol w:w="1706"/>
              <w:gridCol w:w="1074"/>
              <w:gridCol w:w="19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9" w:hRule="atLeast"/>
                <w:jc w:val="center"/>
              </w:trPr>
              <w:tc>
                <w:tcPr>
                  <w:tcW w:w="422" w:type="pct"/>
                  <w:tcBorders>
                    <w:tl2br w:val="nil"/>
                    <w:tr2bl w:val="nil"/>
                  </w:tcBorders>
                  <w:noWrap w:val="0"/>
                  <w:vAlign w:val="center"/>
                </w:tcPr>
                <w:p>
                  <w:pPr>
                    <w:pStyle w:val="28"/>
                    <w:keepNext/>
                    <w:keepLines/>
                    <w:pageBreakBefore w:val="0"/>
                    <w:bidi w:val="0"/>
                    <w:rPr>
                      <w:rFonts w:hint="default"/>
                      <w:b/>
                      <w:bCs/>
                      <w:color w:val="auto"/>
                    </w:rPr>
                  </w:pPr>
                  <w:r>
                    <w:rPr>
                      <w:rFonts w:hint="default"/>
                      <w:b/>
                      <w:bCs/>
                      <w:color w:val="auto"/>
                    </w:rPr>
                    <w:t>类别</w:t>
                  </w:r>
                </w:p>
              </w:tc>
              <w:tc>
                <w:tcPr>
                  <w:tcW w:w="721" w:type="pct"/>
                  <w:tcBorders>
                    <w:tl2br w:val="nil"/>
                    <w:tr2bl w:val="nil"/>
                  </w:tcBorders>
                  <w:noWrap w:val="0"/>
                  <w:vAlign w:val="center"/>
                </w:tcPr>
                <w:p>
                  <w:pPr>
                    <w:pStyle w:val="28"/>
                    <w:keepNext/>
                    <w:keepLines/>
                    <w:pageBreakBefore w:val="0"/>
                    <w:bidi w:val="0"/>
                    <w:rPr>
                      <w:rFonts w:hint="default"/>
                      <w:b/>
                      <w:bCs/>
                      <w:color w:val="auto"/>
                      <w:lang w:eastAsia="zh-CN"/>
                    </w:rPr>
                  </w:pPr>
                  <w:r>
                    <w:rPr>
                      <w:rFonts w:hint="default"/>
                      <w:b/>
                      <w:bCs/>
                      <w:color w:val="auto"/>
                      <w:lang w:eastAsia="zh-CN"/>
                    </w:rPr>
                    <w:t>治理内容</w:t>
                  </w:r>
                </w:p>
              </w:tc>
              <w:tc>
                <w:tcPr>
                  <w:tcW w:w="829" w:type="pct"/>
                  <w:tcBorders>
                    <w:tl2br w:val="nil"/>
                    <w:tr2bl w:val="nil"/>
                  </w:tcBorders>
                  <w:noWrap w:val="0"/>
                  <w:vAlign w:val="center"/>
                </w:tcPr>
                <w:p>
                  <w:pPr>
                    <w:pStyle w:val="28"/>
                    <w:keepNext/>
                    <w:keepLines/>
                    <w:pageBreakBefore w:val="0"/>
                    <w:bidi w:val="0"/>
                    <w:rPr>
                      <w:rFonts w:hint="default"/>
                      <w:b/>
                      <w:bCs/>
                      <w:color w:val="auto"/>
                    </w:rPr>
                  </w:pPr>
                  <w:r>
                    <w:rPr>
                      <w:rFonts w:hint="default"/>
                      <w:b/>
                      <w:bCs/>
                      <w:color w:val="auto"/>
                      <w:lang w:val="en-US" w:eastAsia="zh-CN"/>
                    </w:rPr>
                    <w:t>污染因子</w:t>
                  </w:r>
                </w:p>
              </w:tc>
              <w:tc>
                <w:tcPr>
                  <w:tcW w:w="1080" w:type="pct"/>
                  <w:tcBorders>
                    <w:tl2br w:val="nil"/>
                    <w:tr2bl w:val="nil"/>
                  </w:tcBorders>
                  <w:noWrap w:val="0"/>
                  <w:vAlign w:val="center"/>
                </w:tcPr>
                <w:p>
                  <w:pPr>
                    <w:pStyle w:val="28"/>
                    <w:keepNext/>
                    <w:keepLines/>
                    <w:pageBreakBefore w:val="0"/>
                    <w:bidi w:val="0"/>
                    <w:rPr>
                      <w:rFonts w:hint="default"/>
                      <w:b/>
                      <w:bCs/>
                      <w:color w:val="auto"/>
                    </w:rPr>
                  </w:pPr>
                  <w:r>
                    <w:rPr>
                      <w:rFonts w:hint="default"/>
                      <w:b/>
                      <w:bCs/>
                      <w:color w:val="auto"/>
                    </w:rPr>
                    <w:t>污染防治措施</w:t>
                  </w:r>
                </w:p>
              </w:tc>
              <w:tc>
                <w:tcPr>
                  <w:tcW w:w="680" w:type="pct"/>
                  <w:tcBorders>
                    <w:tl2br w:val="nil"/>
                    <w:tr2bl w:val="nil"/>
                  </w:tcBorders>
                  <w:noWrap w:val="0"/>
                  <w:vAlign w:val="center"/>
                </w:tcPr>
                <w:p>
                  <w:pPr>
                    <w:pStyle w:val="28"/>
                    <w:keepNext/>
                    <w:keepLines/>
                    <w:pageBreakBefore w:val="0"/>
                    <w:bidi w:val="0"/>
                    <w:rPr>
                      <w:rFonts w:hint="eastAsia"/>
                      <w:b/>
                      <w:bCs/>
                      <w:color w:val="auto"/>
                      <w:lang w:eastAsia="zh-CN"/>
                    </w:rPr>
                  </w:pPr>
                  <w:r>
                    <w:rPr>
                      <w:rFonts w:hint="eastAsia"/>
                      <w:b/>
                      <w:bCs/>
                      <w:color w:val="auto"/>
                      <w:lang w:eastAsia="zh-CN"/>
                    </w:rPr>
                    <w:t>环保投资</w:t>
                  </w:r>
                </w:p>
                <w:p>
                  <w:pPr>
                    <w:pStyle w:val="28"/>
                    <w:keepNext/>
                    <w:keepLines/>
                    <w:pageBreakBefore w:val="0"/>
                    <w:bidi w:val="0"/>
                    <w:rPr>
                      <w:rFonts w:hint="eastAsia"/>
                      <w:b/>
                      <w:bCs/>
                      <w:color w:val="auto"/>
                      <w:lang w:eastAsia="zh-CN"/>
                    </w:rPr>
                  </w:pPr>
                  <w:r>
                    <w:rPr>
                      <w:rFonts w:hint="eastAsia"/>
                      <w:b/>
                      <w:bCs/>
                      <w:color w:val="auto"/>
                      <w:lang w:eastAsia="zh-CN"/>
                    </w:rPr>
                    <w:t>（万元）</w:t>
                  </w:r>
                </w:p>
              </w:tc>
              <w:tc>
                <w:tcPr>
                  <w:tcW w:w="1265" w:type="pct"/>
                  <w:tcBorders>
                    <w:tl2br w:val="nil"/>
                    <w:tr2bl w:val="nil"/>
                  </w:tcBorders>
                  <w:noWrap w:val="0"/>
                  <w:vAlign w:val="center"/>
                </w:tcPr>
                <w:p>
                  <w:pPr>
                    <w:pStyle w:val="28"/>
                    <w:keepNext/>
                    <w:keepLines/>
                    <w:pageBreakBefore w:val="0"/>
                    <w:bidi w:val="0"/>
                    <w:rPr>
                      <w:rFonts w:hint="default"/>
                      <w:b/>
                      <w:bCs/>
                      <w:color w:val="auto"/>
                    </w:rPr>
                  </w:pPr>
                  <w:r>
                    <w:rPr>
                      <w:rFonts w:hint="default"/>
                      <w:b/>
                      <w:bCs/>
                      <w:color w:val="auto"/>
                    </w:rPr>
                    <w:t>验收标准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2" w:hRule="atLeast"/>
                <w:jc w:val="center"/>
              </w:trPr>
              <w:tc>
                <w:tcPr>
                  <w:tcW w:w="422" w:type="pct"/>
                  <w:vMerge w:val="restar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废气</w:t>
                  </w:r>
                </w:p>
              </w:tc>
              <w:tc>
                <w:tcPr>
                  <w:tcW w:w="721"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试验废气</w:t>
                  </w:r>
                </w:p>
              </w:tc>
              <w:tc>
                <w:tcPr>
                  <w:tcW w:w="829"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非甲烷总烃</w:t>
                  </w:r>
                </w:p>
              </w:tc>
              <w:tc>
                <w:tcPr>
                  <w:tcW w:w="1080"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加强实验室通风+楼顶排气筒，高空排放（每栋教学楼均设置1根排气筒，离地高度18.2m）</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40</w:t>
                  </w:r>
                </w:p>
              </w:tc>
              <w:tc>
                <w:tcPr>
                  <w:tcW w:w="1265"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《大气污染物综合排放标准》新建有组织排放标准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2" w:hRule="atLeast"/>
                <w:jc w:val="center"/>
              </w:trPr>
              <w:tc>
                <w:tcPr>
                  <w:tcW w:w="422" w:type="pct"/>
                  <w:vMerge w:val="continue"/>
                  <w:tcBorders>
                    <w:tl2br w:val="nil"/>
                    <w:tr2bl w:val="nil"/>
                  </w:tcBorders>
                  <w:noWrap w:val="0"/>
                  <w:vAlign w:val="center"/>
                </w:tcPr>
                <w:p>
                  <w:pPr>
                    <w:pStyle w:val="28"/>
                    <w:keepNext/>
                    <w:keepLines/>
                    <w:pageBreakBefore w:val="0"/>
                    <w:bidi w:val="0"/>
                    <w:rPr>
                      <w:rFonts w:hint="eastAsia"/>
                      <w:color w:val="auto"/>
                      <w:lang w:val="en-US" w:eastAsia="zh-CN"/>
                    </w:rPr>
                  </w:pPr>
                </w:p>
              </w:tc>
              <w:tc>
                <w:tcPr>
                  <w:tcW w:w="721"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锅炉废气</w:t>
                  </w:r>
                </w:p>
              </w:tc>
              <w:tc>
                <w:tcPr>
                  <w:tcW w:w="829"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二氧化硫、颗粒物和氮氧化物</w:t>
                  </w:r>
                </w:p>
              </w:tc>
              <w:tc>
                <w:tcPr>
                  <w:tcW w:w="1080"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超低氮燃烧器+26.5m高排气筒，高空排放</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20</w:t>
                  </w:r>
                </w:p>
              </w:tc>
              <w:tc>
                <w:tcPr>
                  <w:tcW w:w="1265"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《锅炉大气污染物排放标准》（GB13271-2014）表3特别排放标准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2" w:hRule="atLeast"/>
                <w:jc w:val="center"/>
              </w:trPr>
              <w:tc>
                <w:tcPr>
                  <w:tcW w:w="422" w:type="pct"/>
                  <w:vMerge w:val="continue"/>
                  <w:tcBorders>
                    <w:tl2br w:val="nil"/>
                    <w:tr2bl w:val="nil"/>
                  </w:tcBorders>
                  <w:noWrap w:val="0"/>
                  <w:vAlign w:val="center"/>
                </w:tcPr>
                <w:p>
                  <w:pPr>
                    <w:pStyle w:val="28"/>
                    <w:keepNext/>
                    <w:keepLines/>
                    <w:pageBreakBefore w:val="0"/>
                    <w:bidi w:val="0"/>
                    <w:rPr>
                      <w:rFonts w:hint="eastAsia"/>
                      <w:color w:val="auto"/>
                      <w:lang w:val="en-US" w:eastAsia="zh-CN"/>
                    </w:rPr>
                  </w:pPr>
                </w:p>
              </w:tc>
              <w:tc>
                <w:tcPr>
                  <w:tcW w:w="721"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食堂油烟</w:t>
                  </w:r>
                </w:p>
              </w:tc>
              <w:tc>
                <w:tcPr>
                  <w:tcW w:w="829"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油烟</w:t>
                  </w:r>
                </w:p>
              </w:tc>
              <w:tc>
                <w:tcPr>
                  <w:tcW w:w="10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油烟净化装置+屋顶排放</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10</w:t>
                  </w:r>
                </w:p>
              </w:tc>
              <w:tc>
                <w:tcPr>
                  <w:tcW w:w="1265"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《饮食业油烟排放标准(试行)》(GB18483-2001)大型规模标准限值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422" w:type="pct"/>
                  <w:vMerge w:val="restar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废水</w:t>
                  </w:r>
                </w:p>
              </w:tc>
              <w:tc>
                <w:tcPr>
                  <w:tcW w:w="721"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生活污水</w:t>
                  </w:r>
                </w:p>
              </w:tc>
              <w:tc>
                <w:tcPr>
                  <w:tcW w:w="829"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default"/>
                      <w:color w:val="auto"/>
                    </w:rPr>
                    <w:t>COD</w:t>
                  </w:r>
                  <w:r>
                    <w:rPr>
                      <w:rFonts w:hint="eastAsia"/>
                      <w:color w:val="auto"/>
                      <w:lang w:eastAsia="zh-CN"/>
                    </w:rPr>
                    <w:t>、</w:t>
                  </w:r>
                  <w:r>
                    <w:rPr>
                      <w:rFonts w:hint="eastAsia"/>
                      <w:color w:val="auto"/>
                      <w:lang w:val="en-US" w:eastAsia="zh-CN"/>
                    </w:rPr>
                    <w:t>BOD</w:t>
                  </w:r>
                  <w:r>
                    <w:rPr>
                      <w:rFonts w:hint="eastAsia"/>
                      <w:color w:val="auto"/>
                      <w:vertAlign w:val="subscript"/>
                      <w:lang w:val="en-US" w:eastAsia="zh-CN"/>
                    </w:rPr>
                    <w:t>5</w:t>
                  </w:r>
                  <w:r>
                    <w:rPr>
                      <w:rFonts w:hint="default"/>
                      <w:color w:val="auto"/>
                    </w:rPr>
                    <w:t>、NH</w:t>
                  </w:r>
                  <w:r>
                    <w:rPr>
                      <w:rFonts w:hint="default"/>
                      <w:color w:val="auto"/>
                      <w:vertAlign w:val="subscript"/>
                    </w:rPr>
                    <w:t>3</w:t>
                  </w:r>
                  <w:r>
                    <w:rPr>
                      <w:rFonts w:hint="default"/>
                      <w:color w:val="auto"/>
                    </w:rPr>
                    <w:t>-N</w:t>
                  </w:r>
                  <w:r>
                    <w:rPr>
                      <w:rFonts w:hint="eastAsia"/>
                      <w:color w:val="auto"/>
                      <w:lang w:eastAsia="zh-CN"/>
                    </w:rPr>
                    <w:t>、</w:t>
                  </w:r>
                  <w:r>
                    <w:rPr>
                      <w:rFonts w:hint="default"/>
                      <w:color w:val="auto"/>
                    </w:rPr>
                    <w:t>SS、动植</w:t>
                  </w:r>
                  <w:r>
                    <w:rPr>
                      <w:rFonts w:hint="eastAsia"/>
                      <w:color w:val="auto"/>
                      <w:lang w:val="en-US" w:eastAsia="zh-CN"/>
                    </w:rPr>
                    <w:t>物</w:t>
                  </w:r>
                  <w:r>
                    <w:rPr>
                      <w:rFonts w:hint="default"/>
                      <w:color w:val="auto"/>
                    </w:rPr>
                    <w:t>油</w:t>
                  </w:r>
                </w:p>
              </w:tc>
              <w:tc>
                <w:tcPr>
                  <w:tcW w:w="10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经隔油池+100m</w:t>
                  </w:r>
                  <w:r>
                    <w:rPr>
                      <w:rFonts w:hint="eastAsia"/>
                      <w:color w:val="auto"/>
                      <w:vertAlign w:val="superscript"/>
                      <w:lang w:val="en-US" w:eastAsia="zh-CN"/>
                    </w:rPr>
                    <w:t>3</w:t>
                  </w:r>
                  <w:r>
                    <w:rPr>
                      <w:rFonts w:hint="eastAsia"/>
                      <w:color w:val="auto"/>
                      <w:lang w:val="en-US" w:eastAsia="zh-CN"/>
                    </w:rPr>
                    <w:t>玻璃钢化粪池4座</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15</w:t>
                  </w:r>
                </w:p>
              </w:tc>
              <w:tc>
                <w:tcPr>
                  <w:tcW w:w="1265" w:type="pct"/>
                  <w:vMerge w:val="restar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《污水排入城镇下水道水质标准》（GB/T31962-2015）表1中的B等级标准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22" w:type="pct"/>
                  <w:vMerge w:val="continue"/>
                  <w:tcBorders>
                    <w:tl2br w:val="nil"/>
                    <w:tr2bl w:val="nil"/>
                  </w:tcBorders>
                  <w:noWrap w:val="0"/>
                  <w:vAlign w:val="center"/>
                </w:tcPr>
                <w:p>
                  <w:pPr>
                    <w:pStyle w:val="28"/>
                    <w:keepNext/>
                    <w:keepLines/>
                    <w:pageBreakBefore w:val="0"/>
                    <w:bidi w:val="0"/>
                    <w:rPr>
                      <w:rFonts w:hint="eastAsia"/>
                      <w:color w:val="auto"/>
                      <w:lang w:val="en-US" w:eastAsia="zh-CN"/>
                    </w:rPr>
                  </w:pPr>
                </w:p>
              </w:tc>
              <w:tc>
                <w:tcPr>
                  <w:tcW w:w="721"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实验废水</w:t>
                  </w:r>
                </w:p>
              </w:tc>
              <w:tc>
                <w:tcPr>
                  <w:tcW w:w="829" w:type="pct"/>
                  <w:tcBorders>
                    <w:tl2br w:val="nil"/>
                    <w:tr2bl w:val="nil"/>
                  </w:tcBorders>
                  <w:noWrap w:val="0"/>
                  <w:vAlign w:val="center"/>
                </w:tcPr>
                <w:p>
                  <w:pPr>
                    <w:pStyle w:val="28"/>
                    <w:keepNext/>
                    <w:keepLines/>
                    <w:pageBreakBefore w:val="0"/>
                    <w:bidi w:val="0"/>
                    <w:rPr>
                      <w:rFonts w:hint="default"/>
                      <w:color w:val="auto"/>
                    </w:rPr>
                  </w:pPr>
                  <w:r>
                    <w:rPr>
                      <w:rFonts w:hint="default"/>
                      <w:color w:val="auto"/>
                    </w:rPr>
                    <w:t>COD</w:t>
                  </w:r>
                  <w:r>
                    <w:rPr>
                      <w:rFonts w:hint="eastAsia"/>
                      <w:color w:val="auto"/>
                      <w:lang w:eastAsia="zh-CN"/>
                    </w:rPr>
                    <w:t>、</w:t>
                  </w:r>
                  <w:r>
                    <w:rPr>
                      <w:rFonts w:hint="eastAsia"/>
                      <w:color w:val="auto"/>
                      <w:lang w:val="en-US" w:eastAsia="zh-CN"/>
                    </w:rPr>
                    <w:t>BOD</w:t>
                  </w:r>
                  <w:r>
                    <w:rPr>
                      <w:rFonts w:hint="eastAsia"/>
                      <w:color w:val="auto"/>
                      <w:vertAlign w:val="subscript"/>
                      <w:lang w:val="en-US" w:eastAsia="zh-CN"/>
                    </w:rPr>
                    <w:t>5</w:t>
                  </w:r>
                  <w:r>
                    <w:rPr>
                      <w:rFonts w:hint="default"/>
                      <w:color w:val="auto"/>
                    </w:rPr>
                    <w:t>、NH</w:t>
                  </w:r>
                  <w:r>
                    <w:rPr>
                      <w:rFonts w:hint="default"/>
                      <w:color w:val="auto"/>
                      <w:vertAlign w:val="subscript"/>
                    </w:rPr>
                    <w:t>3</w:t>
                  </w:r>
                  <w:r>
                    <w:rPr>
                      <w:rFonts w:hint="default"/>
                      <w:color w:val="auto"/>
                    </w:rPr>
                    <w:t>-N</w:t>
                  </w:r>
                  <w:r>
                    <w:rPr>
                      <w:rFonts w:hint="eastAsia"/>
                      <w:color w:val="auto"/>
                      <w:lang w:eastAsia="zh-CN"/>
                    </w:rPr>
                    <w:t>、</w:t>
                  </w:r>
                  <w:r>
                    <w:rPr>
                      <w:rFonts w:hint="default"/>
                      <w:color w:val="auto"/>
                    </w:rPr>
                    <w:t>SS</w:t>
                  </w:r>
                </w:p>
              </w:tc>
              <w:tc>
                <w:tcPr>
                  <w:tcW w:w="10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实验室废水处理装置3台</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20</w:t>
                  </w:r>
                </w:p>
              </w:tc>
              <w:tc>
                <w:tcPr>
                  <w:tcW w:w="1265" w:type="pct"/>
                  <w:vMerge w:val="continue"/>
                  <w:tcBorders>
                    <w:tl2br w:val="nil"/>
                    <w:tr2bl w:val="nil"/>
                  </w:tcBorders>
                  <w:noWrap w:val="0"/>
                  <w:vAlign w:val="center"/>
                </w:tcPr>
                <w:p>
                  <w:pPr>
                    <w:pStyle w:val="28"/>
                    <w:keepNext/>
                    <w:keepLines/>
                    <w:pageBreakBefore w:val="0"/>
                    <w:bidi w:val="0"/>
                    <w:rPr>
                      <w:rFonts w:hint="default"/>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22" w:type="pct"/>
                  <w:vMerge w:val="restart"/>
                  <w:tcBorders>
                    <w:tl2br w:val="nil"/>
                    <w:tr2bl w:val="nil"/>
                  </w:tcBorders>
                  <w:noWrap w:val="0"/>
                  <w:vAlign w:val="center"/>
                </w:tcPr>
                <w:p>
                  <w:pPr>
                    <w:pStyle w:val="28"/>
                    <w:keepNext/>
                    <w:keepLines/>
                    <w:pageBreakBefore w:val="0"/>
                    <w:bidi w:val="0"/>
                    <w:rPr>
                      <w:rFonts w:hint="default"/>
                      <w:color w:val="auto"/>
                    </w:rPr>
                  </w:pPr>
                  <w:r>
                    <w:rPr>
                      <w:rFonts w:hint="default"/>
                      <w:color w:val="auto"/>
                    </w:rPr>
                    <w:t>固废</w:t>
                  </w:r>
                </w:p>
              </w:tc>
              <w:tc>
                <w:tcPr>
                  <w:tcW w:w="721"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生物试验废物</w:t>
                  </w:r>
                </w:p>
              </w:tc>
              <w:tc>
                <w:tcPr>
                  <w:tcW w:w="829"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玻璃片、植物碎片</w:t>
                  </w:r>
                </w:p>
              </w:tc>
              <w:tc>
                <w:tcPr>
                  <w:tcW w:w="1080" w:type="pct"/>
                  <w:tcBorders>
                    <w:tl2br w:val="nil"/>
                    <w:tr2bl w:val="nil"/>
                  </w:tcBorders>
                  <w:noWrap w:val="0"/>
                  <w:vAlign w:val="center"/>
                </w:tcPr>
                <w:p>
                  <w:pPr>
                    <w:pStyle w:val="28"/>
                    <w:keepNext/>
                    <w:keepLines/>
                    <w:pageBreakBefore w:val="0"/>
                    <w:bidi w:val="0"/>
                    <w:rPr>
                      <w:rFonts w:hint="default"/>
                      <w:color w:val="auto"/>
                      <w:lang w:val="en-US" w:eastAsia="zh-CN"/>
                    </w:rPr>
                  </w:pPr>
                  <w:r>
                    <w:rPr>
                      <w:color w:val="auto"/>
                      <w:lang w:val="en-US" w:eastAsia="zh-CN"/>
                    </w:rPr>
                    <w:t>一般固废场所</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10</w:t>
                  </w:r>
                </w:p>
              </w:tc>
              <w:tc>
                <w:tcPr>
                  <w:tcW w:w="1265"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严格按照</w:t>
                  </w:r>
                  <w:r>
                    <w:rPr>
                      <w:rFonts w:hint="default"/>
                      <w:color w:val="auto"/>
                      <w:lang w:val="en-US" w:eastAsia="zh-CN"/>
                    </w:rPr>
                    <w:t>《一般工业固体废物贮存、处置场污染控制标准》（GB18599-2020）的要求设置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1" w:hRule="atLeast"/>
                <w:jc w:val="center"/>
              </w:trPr>
              <w:tc>
                <w:tcPr>
                  <w:tcW w:w="422" w:type="pct"/>
                  <w:vMerge w:val="continue"/>
                  <w:tcBorders>
                    <w:tl2br w:val="nil"/>
                    <w:tr2bl w:val="nil"/>
                  </w:tcBorders>
                  <w:noWrap w:val="0"/>
                  <w:vAlign w:val="center"/>
                </w:tcPr>
                <w:p>
                  <w:pPr>
                    <w:pStyle w:val="28"/>
                    <w:keepNext/>
                    <w:keepLines/>
                    <w:pageBreakBefore w:val="0"/>
                    <w:bidi w:val="0"/>
                    <w:rPr>
                      <w:rFonts w:hint="default"/>
                      <w:color w:val="auto"/>
                    </w:rPr>
                  </w:pPr>
                </w:p>
              </w:tc>
              <w:tc>
                <w:tcPr>
                  <w:tcW w:w="721" w:type="pct"/>
                  <w:tcBorders>
                    <w:tl2br w:val="nil"/>
                    <w:tr2bl w:val="nil"/>
                  </w:tcBorders>
                  <w:noWrap w:val="0"/>
                  <w:vAlign w:val="center"/>
                </w:tcPr>
                <w:p>
                  <w:pPr>
                    <w:pStyle w:val="28"/>
                    <w:keepNext/>
                    <w:keepLines/>
                    <w:pageBreakBefore w:val="0"/>
                    <w:bidi w:val="0"/>
                    <w:rPr>
                      <w:rFonts w:hint="default"/>
                      <w:color w:val="auto"/>
                    </w:rPr>
                  </w:pPr>
                  <w:r>
                    <w:rPr>
                      <w:rFonts w:hint="eastAsia"/>
                      <w:color w:val="auto"/>
                      <w:lang w:val="en-US" w:eastAsia="zh-CN"/>
                    </w:rPr>
                    <w:t>化学试验废物</w:t>
                  </w:r>
                </w:p>
              </w:tc>
              <w:tc>
                <w:tcPr>
                  <w:tcW w:w="829" w:type="pct"/>
                  <w:tcBorders>
                    <w:tl2br w:val="nil"/>
                    <w:tr2bl w:val="nil"/>
                  </w:tcBorders>
                  <w:noWrap w:val="0"/>
                  <w:vAlign w:val="center"/>
                </w:tcPr>
                <w:p>
                  <w:pPr>
                    <w:pStyle w:val="28"/>
                    <w:keepNext/>
                    <w:keepLines/>
                    <w:pageBreakBefore w:val="0"/>
                    <w:bidi w:val="0"/>
                    <w:rPr>
                      <w:rFonts w:hint="default"/>
                      <w:color w:val="auto"/>
                    </w:rPr>
                  </w:pPr>
                  <w:r>
                    <w:rPr>
                      <w:color w:val="auto"/>
                      <w:lang w:val="en-US" w:eastAsia="zh-CN"/>
                    </w:rPr>
                    <w:t>酸碱废</w:t>
                  </w:r>
                  <w:r>
                    <w:rPr>
                      <w:rFonts w:hint="default"/>
                      <w:color w:val="auto"/>
                      <w:lang w:val="en-US" w:eastAsia="zh-CN"/>
                    </w:rPr>
                    <w:t>液及废试剂瓶</w:t>
                  </w:r>
                </w:p>
              </w:tc>
              <w:tc>
                <w:tcPr>
                  <w:tcW w:w="1080" w:type="pct"/>
                  <w:tcBorders>
                    <w:tl2br w:val="nil"/>
                    <w:tr2bl w:val="nil"/>
                  </w:tcBorders>
                  <w:noWrap w:val="0"/>
                  <w:vAlign w:val="center"/>
                </w:tcPr>
                <w:p>
                  <w:pPr>
                    <w:pStyle w:val="28"/>
                    <w:keepNext/>
                    <w:keepLines/>
                    <w:pageBreakBefore w:val="0"/>
                    <w:bidi w:val="0"/>
                    <w:rPr>
                      <w:rFonts w:hint="default"/>
                      <w:color w:val="auto"/>
                      <w:lang w:val="en-US" w:eastAsia="zh-CN"/>
                    </w:rPr>
                  </w:pPr>
                  <w:r>
                    <w:rPr>
                      <w:color w:val="auto"/>
                      <w:lang w:val="en-US" w:eastAsia="zh-CN"/>
                    </w:rPr>
                    <w:t>化学实验</w:t>
                  </w:r>
                  <w:r>
                    <w:rPr>
                      <w:rFonts w:hint="eastAsia"/>
                      <w:color w:val="auto"/>
                      <w:lang w:val="en-US" w:eastAsia="zh-CN"/>
                    </w:rPr>
                    <w:t>液使用HDPE废液桶收集</w:t>
                  </w:r>
                  <w:r>
                    <w:rPr>
                      <w:rFonts w:hint="eastAsia"/>
                      <w:color w:val="auto"/>
                    </w:rPr>
                    <w:t>，</w:t>
                  </w:r>
                  <w:r>
                    <w:rPr>
                      <w:rFonts w:hint="eastAsia"/>
                      <w:color w:val="auto"/>
                      <w:lang w:val="en-US" w:eastAsia="zh-CN"/>
                    </w:rPr>
                    <w:t>设置危废暂存间5m</w:t>
                  </w:r>
                  <w:r>
                    <w:rPr>
                      <w:rFonts w:hint="eastAsia"/>
                      <w:color w:val="auto"/>
                      <w:vertAlign w:val="superscript"/>
                      <w:lang w:val="en-US" w:eastAsia="zh-CN"/>
                    </w:rPr>
                    <w:t>3</w:t>
                  </w:r>
                  <w:r>
                    <w:rPr>
                      <w:rFonts w:hint="eastAsia"/>
                      <w:color w:val="auto"/>
                      <w:lang w:val="en-US" w:eastAsia="zh-CN"/>
                    </w:rPr>
                    <w:t>，</w:t>
                  </w:r>
                  <w:r>
                    <w:rPr>
                      <w:rFonts w:hint="eastAsia"/>
                      <w:color w:val="auto"/>
                    </w:rPr>
                    <w:t>并委托有相关处置资质的单位进行处理</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10</w:t>
                  </w:r>
                </w:p>
              </w:tc>
              <w:tc>
                <w:tcPr>
                  <w:tcW w:w="1265"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default"/>
                      <w:color w:val="auto"/>
                      <w:lang w:val="en-US" w:eastAsia="zh-CN"/>
                    </w:rPr>
                    <w:t>严格按照《危险废物贮存污染控制标准》</w:t>
                  </w:r>
                  <w:r>
                    <w:rPr>
                      <w:rFonts w:hint="eastAsia"/>
                      <w:color w:val="auto"/>
                      <w:lang w:val="en-US" w:eastAsia="zh-CN"/>
                    </w:rPr>
                    <w:t>（</w:t>
                  </w:r>
                  <w:r>
                    <w:rPr>
                      <w:rFonts w:hint="default"/>
                      <w:color w:val="auto"/>
                      <w:lang w:val="en-US" w:eastAsia="zh-CN"/>
                    </w:rPr>
                    <w:t>GB18596-20</w:t>
                  </w:r>
                  <w:r>
                    <w:rPr>
                      <w:rFonts w:hint="eastAsia"/>
                      <w:color w:val="auto"/>
                      <w:lang w:val="en-US" w:eastAsia="zh-CN"/>
                    </w:rPr>
                    <w:t>23）建设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81" w:hRule="atLeast"/>
                <w:jc w:val="center"/>
              </w:trPr>
              <w:tc>
                <w:tcPr>
                  <w:tcW w:w="422" w:type="pct"/>
                  <w:vMerge w:val="continue"/>
                  <w:tcBorders>
                    <w:tl2br w:val="nil"/>
                    <w:tr2bl w:val="nil"/>
                  </w:tcBorders>
                  <w:noWrap w:val="0"/>
                  <w:vAlign w:val="center"/>
                </w:tcPr>
                <w:p>
                  <w:pPr>
                    <w:pStyle w:val="28"/>
                    <w:keepNext/>
                    <w:keepLines/>
                    <w:pageBreakBefore w:val="0"/>
                    <w:bidi w:val="0"/>
                    <w:rPr>
                      <w:rFonts w:hint="default"/>
                      <w:color w:val="auto"/>
                    </w:rPr>
                  </w:pPr>
                </w:p>
              </w:tc>
              <w:tc>
                <w:tcPr>
                  <w:tcW w:w="721" w:type="pct"/>
                  <w:tcBorders>
                    <w:tl2br w:val="nil"/>
                    <w:tr2bl w:val="nil"/>
                  </w:tcBorders>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生活垃圾</w:t>
                  </w:r>
                </w:p>
              </w:tc>
              <w:tc>
                <w:tcPr>
                  <w:tcW w:w="829" w:type="pct"/>
                  <w:tcBorders>
                    <w:tl2br w:val="nil"/>
                    <w:tr2bl w:val="nil"/>
                  </w:tcBorders>
                  <w:noWrap w:val="0"/>
                  <w:vAlign w:val="center"/>
                </w:tcPr>
                <w:p>
                  <w:pPr>
                    <w:pStyle w:val="28"/>
                    <w:keepNext/>
                    <w:keepLines/>
                    <w:pageBreakBefore w:val="0"/>
                    <w:bidi w:val="0"/>
                    <w:rPr>
                      <w:color w:val="auto"/>
                      <w:lang w:val="en-US" w:eastAsia="zh-CN"/>
                    </w:rPr>
                  </w:pPr>
                  <w:r>
                    <w:rPr>
                      <w:rFonts w:hint="eastAsia"/>
                      <w:color w:val="auto"/>
                      <w:lang w:val="en-US" w:eastAsia="zh-CN"/>
                    </w:rPr>
                    <w:t>生活垃圾</w:t>
                  </w:r>
                </w:p>
              </w:tc>
              <w:tc>
                <w:tcPr>
                  <w:tcW w:w="1080" w:type="pct"/>
                  <w:tcBorders>
                    <w:tl2br w:val="nil"/>
                    <w:tr2bl w:val="nil"/>
                  </w:tcBorders>
                  <w:noWrap w:val="0"/>
                  <w:vAlign w:val="center"/>
                </w:tcPr>
                <w:p>
                  <w:pPr>
                    <w:pStyle w:val="28"/>
                    <w:keepNext/>
                    <w:keepLines/>
                    <w:pageBreakBefore w:val="0"/>
                    <w:bidi w:val="0"/>
                    <w:rPr>
                      <w:color w:val="auto"/>
                      <w:lang w:val="en-US" w:eastAsia="zh-CN"/>
                    </w:rPr>
                  </w:pPr>
                  <w:r>
                    <w:rPr>
                      <w:color w:val="auto"/>
                      <w:lang w:val="en-US" w:eastAsia="zh-CN"/>
                    </w:rPr>
                    <w:t>生活垃圾收集</w:t>
                  </w:r>
                </w:p>
                <w:p>
                  <w:pPr>
                    <w:pStyle w:val="28"/>
                    <w:keepNext/>
                    <w:keepLines/>
                    <w:pageBreakBefore w:val="0"/>
                    <w:bidi w:val="0"/>
                    <w:rPr>
                      <w:rFonts w:hint="default"/>
                      <w:color w:val="auto"/>
                      <w:lang w:val="en-US" w:eastAsia="zh-CN"/>
                    </w:rPr>
                  </w:pPr>
                  <w:r>
                    <w:rPr>
                      <w:color w:val="auto"/>
                      <w:lang w:val="en-US" w:eastAsia="zh-CN"/>
                    </w:rPr>
                    <w:t>装置</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5</w:t>
                  </w:r>
                </w:p>
              </w:tc>
              <w:tc>
                <w:tcPr>
                  <w:tcW w:w="1265" w:type="pct"/>
                  <w:tcBorders>
                    <w:tl2br w:val="nil"/>
                    <w:tr2bl w:val="nil"/>
                  </w:tcBorders>
                  <w:noWrap w:val="0"/>
                  <w:vAlign w:val="center"/>
                </w:tcPr>
                <w:p>
                  <w:pPr>
                    <w:pStyle w:val="28"/>
                    <w:keepNext/>
                    <w:keepLines/>
                    <w:pageBreakBefore w:val="0"/>
                    <w:bidi w:val="0"/>
                    <w:rPr>
                      <w:rFonts w:hint="default"/>
                      <w:color w:val="auto"/>
                      <w:lang w:val="en-US" w:eastAsia="zh-CN"/>
                    </w:rPr>
                  </w:pPr>
                  <w:r>
                    <w:rPr>
                      <w:color w:val="auto"/>
                      <w:lang w:val="en-US" w:eastAsia="zh-CN"/>
                    </w:rPr>
                    <w:t>分类收集、存放，定期处置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2" w:hRule="atLeast"/>
                <w:jc w:val="center"/>
              </w:trPr>
              <w:tc>
                <w:tcPr>
                  <w:tcW w:w="422" w:type="pct"/>
                  <w:tcBorders>
                    <w:tl2br w:val="nil"/>
                    <w:tr2bl w:val="nil"/>
                  </w:tcBorders>
                  <w:noWrap w:val="0"/>
                  <w:vAlign w:val="center"/>
                </w:tcPr>
                <w:p>
                  <w:pPr>
                    <w:pStyle w:val="28"/>
                    <w:keepNext/>
                    <w:keepLines/>
                    <w:pageBreakBefore w:val="0"/>
                    <w:bidi w:val="0"/>
                    <w:rPr>
                      <w:rFonts w:hint="default"/>
                      <w:color w:val="auto"/>
                    </w:rPr>
                  </w:pPr>
                  <w:r>
                    <w:rPr>
                      <w:rFonts w:hint="default"/>
                      <w:color w:val="auto"/>
                    </w:rPr>
                    <w:t>噪声</w:t>
                  </w:r>
                </w:p>
              </w:tc>
              <w:tc>
                <w:tcPr>
                  <w:tcW w:w="2631" w:type="pct"/>
                  <w:gridSpan w:val="3"/>
                  <w:tcBorders>
                    <w:tl2br w:val="nil"/>
                    <w:tr2bl w:val="nil"/>
                  </w:tcBorders>
                  <w:noWrap w:val="0"/>
                  <w:vAlign w:val="center"/>
                </w:tcPr>
                <w:p>
                  <w:pPr>
                    <w:pStyle w:val="28"/>
                    <w:keepNext/>
                    <w:keepLines/>
                    <w:pageBreakBefore w:val="0"/>
                    <w:bidi w:val="0"/>
                    <w:rPr>
                      <w:rFonts w:hint="default"/>
                      <w:color w:val="auto"/>
                    </w:rPr>
                  </w:pPr>
                  <w:r>
                    <w:rPr>
                      <w:rFonts w:hint="default"/>
                      <w:color w:val="auto"/>
                    </w:rPr>
                    <w:t>选用低噪声设备；</w:t>
                  </w:r>
                  <w:r>
                    <w:rPr>
                      <w:rFonts w:hint="default"/>
                      <w:color w:val="auto"/>
                      <w:lang w:eastAsia="zh-CN"/>
                    </w:rPr>
                    <w:t>隔音、基础减震</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20</w:t>
                  </w:r>
                </w:p>
              </w:tc>
              <w:tc>
                <w:tcPr>
                  <w:tcW w:w="1265" w:type="pct"/>
                  <w:tcBorders>
                    <w:tl2br w:val="nil"/>
                    <w:tr2bl w:val="nil"/>
                  </w:tcBorders>
                  <w:noWrap w:val="0"/>
                  <w:vAlign w:val="center"/>
                </w:tcPr>
                <w:p>
                  <w:pPr>
                    <w:pStyle w:val="28"/>
                    <w:keepNext/>
                    <w:keepLines/>
                    <w:pageBreakBefore w:val="0"/>
                    <w:bidi w:val="0"/>
                    <w:rPr>
                      <w:rFonts w:hint="default"/>
                      <w:color w:val="auto"/>
                    </w:rPr>
                  </w:pPr>
                  <w:r>
                    <w:rPr>
                      <w:rFonts w:hint="default"/>
                      <w:color w:val="auto"/>
                    </w:rPr>
                    <w:t>《工业企业厂界环境噪声排放标准》</w:t>
                  </w:r>
                  <w:r>
                    <w:rPr>
                      <w:rFonts w:hint="eastAsia"/>
                      <w:color w:val="auto"/>
                      <w:lang w:eastAsia="zh-CN"/>
                    </w:rPr>
                    <w:t>（</w:t>
                  </w:r>
                  <w:r>
                    <w:rPr>
                      <w:rFonts w:hint="default"/>
                      <w:color w:val="auto"/>
                    </w:rPr>
                    <w:t>GB12348－2008</w:t>
                  </w:r>
                  <w:r>
                    <w:rPr>
                      <w:rFonts w:hint="eastAsia"/>
                      <w:color w:val="auto"/>
                      <w:lang w:eastAsia="zh-CN"/>
                    </w:rPr>
                    <w:t>）</w:t>
                  </w:r>
                  <w:r>
                    <w:rPr>
                      <w:rFonts w:hint="eastAsia"/>
                      <w:color w:val="auto"/>
                      <w:lang w:val="en-US" w:eastAsia="zh-CN"/>
                    </w:rPr>
                    <w:t>中1</w:t>
                  </w:r>
                  <w:r>
                    <w:rPr>
                      <w:rFonts w:hint="default"/>
                      <w:color w:val="auto"/>
                    </w:rPr>
                    <w:t>类标准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3053" w:type="pct"/>
                  <w:gridSpan w:val="4"/>
                  <w:tcBorders>
                    <w:tl2br w:val="nil"/>
                    <w:tr2bl w:val="nil"/>
                  </w:tcBorders>
                  <w:noWrap w:val="0"/>
                  <w:vAlign w:val="center"/>
                </w:tcPr>
                <w:p>
                  <w:pPr>
                    <w:pStyle w:val="28"/>
                    <w:keepNext/>
                    <w:keepLines/>
                    <w:pageBreakBefore w:val="0"/>
                    <w:bidi w:val="0"/>
                    <w:rPr>
                      <w:rFonts w:hint="default"/>
                      <w:color w:val="auto"/>
                    </w:rPr>
                  </w:pPr>
                  <w:r>
                    <w:rPr>
                      <w:rFonts w:hint="eastAsia"/>
                      <w:color w:val="auto"/>
                      <w:lang w:eastAsia="zh-CN"/>
                    </w:rPr>
                    <w:t>合计</w:t>
                  </w:r>
                </w:p>
              </w:tc>
              <w:tc>
                <w:tcPr>
                  <w:tcW w:w="680" w:type="pct"/>
                  <w:tcBorders>
                    <w:tl2br w:val="nil"/>
                    <w:tr2bl w:val="nil"/>
                  </w:tcBorders>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150</w:t>
                  </w:r>
                </w:p>
              </w:tc>
              <w:tc>
                <w:tcPr>
                  <w:tcW w:w="1265" w:type="pct"/>
                  <w:tcBorders>
                    <w:tl2br w:val="nil"/>
                    <w:tr2bl w:val="nil"/>
                  </w:tcBorders>
                  <w:noWrap w:val="0"/>
                  <w:vAlign w:val="center"/>
                </w:tcPr>
                <w:p>
                  <w:pPr>
                    <w:pStyle w:val="28"/>
                    <w:keepNext/>
                    <w:keepLines/>
                    <w:pageBreakBefore w:val="0"/>
                    <w:bidi w:val="0"/>
                    <w:rPr>
                      <w:rFonts w:hint="default"/>
                      <w:color w:val="auto"/>
                    </w:rPr>
                  </w:pPr>
                </w:p>
              </w:tc>
            </w:tr>
          </w:tbl>
          <w:p>
            <w:pPr>
              <w:keepNext/>
              <w:keepLines/>
              <w:pageBreakBefore w:val="0"/>
              <w:bidi w:val="0"/>
              <w:spacing w:line="360" w:lineRule="auto"/>
              <w:rPr>
                <w:rFonts w:hint="eastAsia" w:ascii="宋体" w:hAnsi="宋体" w:eastAsia="宋体" w:cs="宋体"/>
                <w:bCs/>
                <w:color w:val="auto"/>
                <w:spacing w:val="-10"/>
                <w:szCs w:val="21"/>
                <w:lang w:val="en-US" w:eastAsia="zh-CN"/>
              </w:rPr>
            </w:pPr>
          </w:p>
        </w:tc>
      </w:tr>
    </w:tbl>
    <w:p>
      <w:pPr>
        <w:keepNext/>
        <w:keepLines/>
        <w:pageBreakBefore w:val="0"/>
        <w:bidi w:val="0"/>
        <w:adjustRightInd w:val="0"/>
        <w:snapToGrid w:val="0"/>
        <w:spacing w:line="360" w:lineRule="auto"/>
        <w:rPr>
          <w:rFonts w:hint="eastAsia" w:ascii="宋体" w:cs="宋体"/>
          <w:b/>
          <w:color w:val="auto"/>
          <w:kern w:val="0"/>
          <w:sz w:val="28"/>
          <w:szCs w:val="28"/>
        </w:rPr>
        <w:sectPr>
          <w:pgSz w:w="11907" w:h="16840"/>
          <w:pgMar w:top="1701" w:right="1531" w:bottom="2126" w:left="1531" w:header="851" w:footer="850" w:gutter="0"/>
          <w:pgBorders>
            <w:top w:val="none" w:sz="0" w:space="0"/>
            <w:left w:val="none" w:sz="0" w:space="0"/>
            <w:bottom w:val="none" w:sz="0" w:space="0"/>
            <w:right w:val="none" w:sz="0" w:space="0"/>
          </w:pgBorders>
          <w:pgNumType w:fmt="decimal"/>
          <w:cols w:space="720" w:num="1"/>
          <w:rtlGutter w:val="0"/>
          <w:docGrid w:type="lines" w:linePitch="312" w:charSpace="0"/>
        </w:sectPr>
      </w:pPr>
    </w:p>
    <w:p>
      <w:pPr>
        <w:pStyle w:val="17"/>
        <w:keepNext/>
        <w:keepLines/>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ascii="黑体" w:hAnsi="黑体" w:eastAsia="黑体"/>
          <w:snapToGrid w:val="0"/>
          <w:color w:val="auto"/>
          <w:sz w:val="30"/>
          <w:szCs w:val="30"/>
        </w:rPr>
      </w:pPr>
      <w:r>
        <w:rPr>
          <w:rFonts w:hint="eastAsia" w:ascii="黑体" w:hAnsi="黑体" w:eastAsia="黑体"/>
          <w:snapToGrid w:val="0"/>
          <w:color w:val="auto"/>
          <w:sz w:val="30"/>
          <w:szCs w:val="30"/>
        </w:rPr>
        <w:t>五、</w:t>
      </w:r>
      <w:bookmarkStart w:id="17" w:name="_Hlk54167917"/>
      <w:r>
        <w:rPr>
          <w:rFonts w:hint="eastAsia" w:ascii="黑体" w:hAnsi="黑体" w:eastAsia="黑体"/>
          <w:snapToGrid w:val="0"/>
          <w:color w:val="auto"/>
          <w:sz w:val="30"/>
          <w:szCs w:val="30"/>
        </w:rPr>
        <w:t>环境保护措施监督检查清单</w:t>
      </w:r>
      <w:bookmarkEnd w:id="17"/>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770"/>
        <w:gridCol w:w="771"/>
        <w:gridCol w:w="1487"/>
        <w:gridCol w:w="2420"/>
        <w:gridCol w:w="19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tcBorders>
              <w:tl2br w:val="single" w:color="auto" w:sz="4" w:space="0"/>
            </w:tcBorders>
            <w:noWrap w:val="0"/>
            <w:vAlign w:val="top"/>
          </w:tcPr>
          <w:p>
            <w:pPr>
              <w:pStyle w:val="28"/>
              <w:keepNext/>
              <w:keepLines/>
              <w:pageBreakBefore w:val="0"/>
              <w:bidi w:val="0"/>
              <w:rPr>
                <w:rFonts w:hint="eastAsia"/>
                <w:color w:val="auto"/>
              </w:rPr>
            </w:pPr>
            <w:r>
              <w:rPr>
                <w:rFonts w:hint="eastAsia"/>
                <w:color w:val="auto"/>
              </w:rPr>
              <w:t>内容</w:t>
            </w:r>
          </w:p>
          <w:p>
            <w:pPr>
              <w:pStyle w:val="28"/>
              <w:keepNext/>
              <w:keepLines/>
              <w:pageBreakBefore w:val="0"/>
              <w:bidi w:val="0"/>
              <w:rPr>
                <w:rFonts w:hint="eastAsia"/>
                <w:color w:val="auto"/>
              </w:rPr>
            </w:pPr>
            <w:r>
              <w:rPr>
                <w:rFonts w:hint="eastAsia"/>
                <w:color w:val="auto"/>
              </w:rPr>
              <w:t>要素</w:t>
            </w:r>
          </w:p>
        </w:tc>
        <w:tc>
          <w:tcPr>
            <w:tcW w:w="1541" w:type="dxa"/>
            <w:gridSpan w:val="2"/>
            <w:noWrap w:val="0"/>
            <w:vAlign w:val="center"/>
          </w:tcPr>
          <w:p>
            <w:pPr>
              <w:pStyle w:val="28"/>
              <w:keepNext/>
              <w:keepLines/>
              <w:pageBreakBefore w:val="0"/>
              <w:bidi w:val="0"/>
              <w:rPr>
                <w:rFonts w:hint="eastAsia"/>
                <w:color w:val="auto"/>
              </w:rPr>
            </w:pPr>
            <w:r>
              <w:rPr>
                <w:rFonts w:hint="eastAsia"/>
                <w:color w:val="auto"/>
              </w:rPr>
              <w:t>排放口(编号、</w:t>
            </w:r>
          </w:p>
          <w:p>
            <w:pPr>
              <w:pStyle w:val="28"/>
              <w:keepNext/>
              <w:keepLines/>
              <w:pageBreakBefore w:val="0"/>
              <w:bidi w:val="0"/>
              <w:rPr>
                <w:rFonts w:hint="eastAsia"/>
                <w:color w:val="auto"/>
              </w:rPr>
            </w:pPr>
            <w:r>
              <w:rPr>
                <w:rFonts w:hint="eastAsia"/>
                <w:color w:val="auto"/>
              </w:rPr>
              <w:t>名称)/污染源</w:t>
            </w:r>
          </w:p>
        </w:tc>
        <w:tc>
          <w:tcPr>
            <w:tcW w:w="1487" w:type="dxa"/>
            <w:noWrap w:val="0"/>
            <w:vAlign w:val="center"/>
          </w:tcPr>
          <w:p>
            <w:pPr>
              <w:pStyle w:val="28"/>
              <w:keepNext/>
              <w:keepLines/>
              <w:pageBreakBefore w:val="0"/>
              <w:bidi w:val="0"/>
              <w:rPr>
                <w:rFonts w:hint="eastAsia"/>
                <w:color w:val="auto"/>
              </w:rPr>
            </w:pPr>
            <w:r>
              <w:rPr>
                <w:rFonts w:hint="eastAsia"/>
                <w:color w:val="auto"/>
              </w:rPr>
              <w:t>污染物项目</w:t>
            </w:r>
          </w:p>
        </w:tc>
        <w:tc>
          <w:tcPr>
            <w:tcW w:w="2420" w:type="dxa"/>
            <w:noWrap w:val="0"/>
            <w:vAlign w:val="center"/>
          </w:tcPr>
          <w:p>
            <w:pPr>
              <w:pStyle w:val="28"/>
              <w:keepNext/>
              <w:keepLines/>
              <w:pageBreakBefore w:val="0"/>
              <w:bidi w:val="0"/>
              <w:rPr>
                <w:rFonts w:hint="eastAsia"/>
                <w:color w:val="auto"/>
              </w:rPr>
            </w:pPr>
            <w:r>
              <w:rPr>
                <w:rFonts w:hint="eastAsia"/>
                <w:color w:val="auto"/>
              </w:rPr>
              <w:t>环境保护措施</w:t>
            </w:r>
          </w:p>
        </w:tc>
        <w:tc>
          <w:tcPr>
            <w:tcW w:w="1965" w:type="dxa"/>
            <w:noWrap w:val="0"/>
            <w:vAlign w:val="center"/>
          </w:tcPr>
          <w:p>
            <w:pPr>
              <w:pStyle w:val="28"/>
              <w:keepNext/>
              <w:keepLines/>
              <w:pageBreakBefore w:val="0"/>
              <w:bidi w:val="0"/>
              <w:rPr>
                <w:rFonts w:hint="eastAsia"/>
                <w:color w:val="auto"/>
              </w:rPr>
            </w:pPr>
            <w:r>
              <w:rPr>
                <w:rFonts w:hint="eastAsia"/>
                <w:color w:val="auto"/>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vMerge w:val="restart"/>
            <w:noWrap w:val="0"/>
            <w:vAlign w:val="center"/>
          </w:tcPr>
          <w:p>
            <w:pPr>
              <w:pStyle w:val="28"/>
              <w:keepNext/>
              <w:keepLines/>
              <w:pageBreakBefore w:val="0"/>
              <w:bidi w:val="0"/>
              <w:rPr>
                <w:rFonts w:hint="eastAsia"/>
                <w:color w:val="auto"/>
                <w:lang w:eastAsia="zh-CN"/>
              </w:rPr>
            </w:pPr>
            <w:r>
              <w:rPr>
                <w:rFonts w:hint="eastAsia"/>
                <w:color w:val="auto"/>
                <w:lang w:eastAsia="zh-CN"/>
              </w:rPr>
              <w:t>大气环境</w:t>
            </w:r>
          </w:p>
        </w:tc>
        <w:tc>
          <w:tcPr>
            <w:tcW w:w="1541" w:type="dxa"/>
            <w:gridSpan w:val="2"/>
            <w:noWrap w:val="0"/>
            <w:vAlign w:val="center"/>
          </w:tcPr>
          <w:p>
            <w:pPr>
              <w:pStyle w:val="28"/>
              <w:keepNext/>
              <w:keepLines/>
              <w:pageBreakBefore w:val="0"/>
              <w:bidi w:val="0"/>
              <w:rPr>
                <w:rFonts w:hint="default"/>
                <w:color w:val="auto"/>
                <w:lang w:val="en-US" w:eastAsia="zh-CN"/>
              </w:rPr>
            </w:pPr>
            <w:r>
              <w:rPr>
                <w:rFonts w:hint="eastAsia"/>
                <w:color w:val="auto"/>
                <w:lang w:eastAsia="zh-CN"/>
              </w:rPr>
              <w:t>试验室废气</w:t>
            </w:r>
            <w:r>
              <w:rPr>
                <w:rFonts w:hint="eastAsia"/>
                <w:color w:val="auto"/>
                <w:lang w:val="en-US" w:eastAsia="zh-CN"/>
              </w:rPr>
              <w:t>排放口</w:t>
            </w:r>
          </w:p>
        </w:tc>
        <w:tc>
          <w:tcPr>
            <w:tcW w:w="1487" w:type="dxa"/>
            <w:noWrap w:val="0"/>
            <w:vAlign w:val="center"/>
          </w:tcPr>
          <w:p>
            <w:pPr>
              <w:pStyle w:val="28"/>
              <w:keepNext/>
              <w:keepLines/>
              <w:pageBreakBefore w:val="0"/>
              <w:bidi w:val="0"/>
              <w:rPr>
                <w:rFonts w:hint="eastAsia"/>
                <w:color w:val="auto"/>
                <w:lang w:eastAsia="zh-CN"/>
              </w:rPr>
            </w:pPr>
            <w:r>
              <w:rPr>
                <w:rFonts w:hint="eastAsia"/>
                <w:color w:val="auto"/>
                <w:lang w:eastAsia="zh-CN"/>
              </w:rPr>
              <w:t>酸性废气</w:t>
            </w:r>
          </w:p>
        </w:tc>
        <w:tc>
          <w:tcPr>
            <w:tcW w:w="2420"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加强实验室通风+楼顶排气筒，高空排放（离地高度18.2m）</w:t>
            </w:r>
          </w:p>
        </w:tc>
        <w:tc>
          <w:tcPr>
            <w:tcW w:w="1965"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《大气污染物综合排放标准》（GB16297-1996）新建有组织排放标准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1387" w:type="dxa"/>
            <w:vMerge w:val="continue"/>
            <w:noWrap w:val="0"/>
            <w:vAlign w:val="center"/>
          </w:tcPr>
          <w:p>
            <w:pPr>
              <w:pStyle w:val="28"/>
              <w:keepNext/>
              <w:keepLines/>
              <w:pageBreakBefore w:val="0"/>
              <w:bidi w:val="0"/>
              <w:rPr>
                <w:rFonts w:hint="eastAsia"/>
                <w:color w:val="auto"/>
                <w:lang w:eastAsia="zh-CN"/>
              </w:rPr>
            </w:pPr>
          </w:p>
        </w:tc>
        <w:tc>
          <w:tcPr>
            <w:tcW w:w="1541" w:type="dxa"/>
            <w:gridSpan w:val="2"/>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锅炉排气筒（DA001）</w:t>
            </w:r>
          </w:p>
        </w:tc>
        <w:tc>
          <w:tcPr>
            <w:tcW w:w="1487"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二氧化硫、颗粒物和氮氧化物</w:t>
            </w:r>
          </w:p>
        </w:tc>
        <w:tc>
          <w:tcPr>
            <w:tcW w:w="2420" w:type="dxa"/>
            <w:noWrap w:val="0"/>
            <w:vAlign w:val="center"/>
          </w:tcPr>
          <w:p>
            <w:pPr>
              <w:pStyle w:val="28"/>
              <w:keepNext/>
              <w:keepLines/>
              <w:pageBreakBefore w:val="0"/>
              <w:bidi w:val="0"/>
              <w:rPr>
                <w:rFonts w:hint="default"/>
                <w:b/>
                <w:bCs/>
                <w:color w:val="auto"/>
                <w:lang w:val="en-US" w:eastAsia="zh-CN"/>
              </w:rPr>
            </w:pPr>
            <w:r>
              <w:rPr>
                <w:rFonts w:hint="eastAsia"/>
                <w:color w:val="auto"/>
                <w:lang w:val="en-US" w:eastAsia="zh-CN"/>
              </w:rPr>
              <w:t>超低氮燃烧器+26.5m高排气筒（离地高度），高空排放</w:t>
            </w:r>
          </w:p>
        </w:tc>
        <w:tc>
          <w:tcPr>
            <w:tcW w:w="1965"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《锅炉大气污染物排放标准》（GB13271-2014）中表3特别排放标准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vMerge w:val="continue"/>
            <w:noWrap w:val="0"/>
            <w:vAlign w:val="center"/>
          </w:tcPr>
          <w:p>
            <w:pPr>
              <w:pStyle w:val="28"/>
              <w:keepNext/>
              <w:keepLines/>
              <w:pageBreakBefore w:val="0"/>
              <w:bidi w:val="0"/>
              <w:rPr>
                <w:rFonts w:hint="eastAsia"/>
                <w:color w:val="auto"/>
                <w:lang w:eastAsia="zh-CN"/>
              </w:rPr>
            </w:pPr>
          </w:p>
        </w:tc>
        <w:tc>
          <w:tcPr>
            <w:tcW w:w="1541" w:type="dxa"/>
            <w:gridSpan w:val="2"/>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油烟排气筒</w:t>
            </w:r>
          </w:p>
        </w:tc>
        <w:tc>
          <w:tcPr>
            <w:tcW w:w="1487"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油烟</w:t>
            </w:r>
          </w:p>
        </w:tc>
        <w:tc>
          <w:tcPr>
            <w:tcW w:w="2420"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油烟净化装置+屋顶排放</w:t>
            </w:r>
          </w:p>
        </w:tc>
        <w:tc>
          <w:tcPr>
            <w:tcW w:w="1965" w:type="dxa"/>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《饮食业油烟排放标准(试行)》(GB18483-2001)大型规模标准限值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vMerge w:val="restart"/>
            <w:noWrap w:val="0"/>
            <w:vAlign w:val="center"/>
          </w:tcPr>
          <w:p>
            <w:pPr>
              <w:pStyle w:val="28"/>
              <w:keepNext/>
              <w:keepLines/>
              <w:pageBreakBefore w:val="0"/>
              <w:bidi w:val="0"/>
              <w:rPr>
                <w:rFonts w:hint="eastAsia"/>
                <w:color w:val="auto"/>
              </w:rPr>
            </w:pPr>
            <w:r>
              <w:rPr>
                <w:rFonts w:hint="eastAsia"/>
                <w:color w:val="auto"/>
              </w:rPr>
              <w:t>地表水环境</w:t>
            </w:r>
          </w:p>
        </w:tc>
        <w:tc>
          <w:tcPr>
            <w:tcW w:w="770" w:type="dxa"/>
            <w:vMerge w:val="restart"/>
            <w:noWrap w:val="0"/>
            <w:vAlign w:val="center"/>
          </w:tcPr>
          <w:p>
            <w:pPr>
              <w:pStyle w:val="28"/>
              <w:keepNext/>
              <w:keepLines/>
              <w:pageBreakBefore w:val="0"/>
              <w:bidi w:val="0"/>
              <w:rPr>
                <w:rFonts w:hint="default" w:eastAsia="宋体"/>
                <w:color w:val="auto"/>
                <w:lang w:val="en-US" w:eastAsia="zh-CN"/>
              </w:rPr>
            </w:pPr>
            <w:r>
              <w:rPr>
                <w:rFonts w:hint="eastAsia"/>
                <w:color w:val="auto"/>
                <w:lang w:val="en-US" w:eastAsia="zh-CN"/>
              </w:rPr>
              <w:t>综合废水（DW001）</w:t>
            </w:r>
          </w:p>
        </w:tc>
        <w:tc>
          <w:tcPr>
            <w:tcW w:w="771" w:type="dxa"/>
            <w:noWrap w:val="0"/>
            <w:vAlign w:val="center"/>
          </w:tcPr>
          <w:p>
            <w:pPr>
              <w:pStyle w:val="28"/>
              <w:keepNext/>
              <w:keepLines/>
              <w:pageBreakBefore w:val="0"/>
              <w:bidi w:val="0"/>
              <w:rPr>
                <w:rFonts w:hint="default" w:eastAsia="宋体" w:asciiTheme="minorAscii" w:hAnsiTheme="minorAscii" w:cstheme="minorBidi"/>
                <w:color w:val="auto"/>
                <w:sz w:val="21"/>
              </w:rPr>
            </w:pPr>
            <w:r>
              <w:rPr>
                <w:rFonts w:hint="default"/>
                <w:color w:val="auto"/>
              </w:rPr>
              <w:t>生活</w:t>
            </w:r>
            <w:r>
              <w:rPr>
                <w:rFonts w:hint="eastAsia"/>
                <w:color w:val="auto"/>
                <w:lang w:eastAsia="zh-CN"/>
              </w:rPr>
              <w:t>污</w:t>
            </w:r>
            <w:r>
              <w:rPr>
                <w:rFonts w:hint="default"/>
                <w:color w:val="auto"/>
              </w:rPr>
              <w:t>水</w:t>
            </w:r>
          </w:p>
        </w:tc>
        <w:tc>
          <w:tcPr>
            <w:tcW w:w="1487" w:type="dxa"/>
            <w:vMerge w:val="restart"/>
            <w:noWrap w:val="0"/>
            <w:vAlign w:val="center"/>
          </w:tcPr>
          <w:p>
            <w:pPr>
              <w:pStyle w:val="28"/>
              <w:keepNext/>
              <w:keepLines/>
              <w:pageBreakBefore w:val="0"/>
              <w:bidi w:val="0"/>
              <w:rPr>
                <w:rFonts w:hint="eastAsia"/>
                <w:color w:val="auto"/>
              </w:rPr>
            </w:pPr>
            <w:r>
              <w:rPr>
                <w:rFonts w:hint="default"/>
                <w:color w:val="auto"/>
              </w:rPr>
              <w:t>COD</w:t>
            </w:r>
            <w:r>
              <w:rPr>
                <w:rFonts w:hint="eastAsia"/>
                <w:color w:val="auto"/>
                <w:lang w:eastAsia="zh-CN"/>
              </w:rPr>
              <w:t>、</w:t>
            </w:r>
            <w:r>
              <w:rPr>
                <w:rFonts w:hint="eastAsia"/>
                <w:color w:val="auto"/>
                <w:lang w:val="en-US" w:eastAsia="zh-CN"/>
              </w:rPr>
              <w:t>BOD</w:t>
            </w:r>
            <w:r>
              <w:rPr>
                <w:rFonts w:hint="eastAsia"/>
                <w:color w:val="auto"/>
                <w:vertAlign w:val="subscript"/>
                <w:lang w:val="en-US" w:eastAsia="zh-CN"/>
              </w:rPr>
              <w:t>5</w:t>
            </w:r>
            <w:r>
              <w:rPr>
                <w:rFonts w:hint="default"/>
                <w:color w:val="auto"/>
              </w:rPr>
              <w:t>、NH</w:t>
            </w:r>
            <w:r>
              <w:rPr>
                <w:rFonts w:hint="default"/>
                <w:color w:val="auto"/>
                <w:vertAlign w:val="subscript"/>
              </w:rPr>
              <w:t>3</w:t>
            </w:r>
            <w:r>
              <w:rPr>
                <w:rFonts w:hint="default"/>
                <w:color w:val="auto"/>
              </w:rPr>
              <w:t>-N</w:t>
            </w:r>
            <w:r>
              <w:rPr>
                <w:rFonts w:hint="eastAsia"/>
                <w:color w:val="auto"/>
                <w:lang w:eastAsia="zh-CN"/>
              </w:rPr>
              <w:t>、</w:t>
            </w:r>
            <w:r>
              <w:rPr>
                <w:rFonts w:hint="default"/>
                <w:color w:val="auto"/>
              </w:rPr>
              <w:t>SS、动植油</w:t>
            </w:r>
          </w:p>
        </w:tc>
        <w:tc>
          <w:tcPr>
            <w:tcW w:w="2420" w:type="dxa"/>
            <w:noWrap w:val="0"/>
            <w:vAlign w:val="center"/>
          </w:tcPr>
          <w:p>
            <w:pPr>
              <w:pStyle w:val="28"/>
              <w:keepNext/>
              <w:keepLines/>
              <w:pageBreakBefore w:val="0"/>
              <w:bidi w:val="0"/>
              <w:rPr>
                <w:rFonts w:hint="eastAsia"/>
                <w:color w:val="auto"/>
                <w:lang w:eastAsia="zh-CN"/>
              </w:rPr>
            </w:pPr>
            <w:r>
              <w:rPr>
                <w:rFonts w:hint="default"/>
                <w:color w:val="auto"/>
              </w:rPr>
              <w:t>经</w:t>
            </w:r>
            <w:r>
              <w:rPr>
                <w:rFonts w:hint="eastAsia"/>
                <w:color w:val="auto"/>
                <w:lang w:val="en-US" w:eastAsia="zh-CN"/>
              </w:rPr>
              <w:t>隔油池和</w:t>
            </w:r>
            <w:r>
              <w:rPr>
                <w:rFonts w:hint="default"/>
                <w:color w:val="auto"/>
              </w:rPr>
              <w:t>化粪池</w:t>
            </w:r>
            <w:r>
              <w:rPr>
                <w:rFonts w:hint="eastAsia"/>
                <w:color w:val="auto"/>
                <w:lang w:val="en-US" w:eastAsia="zh-CN"/>
              </w:rPr>
              <w:t>预处理</w:t>
            </w:r>
            <w:r>
              <w:rPr>
                <w:rFonts w:hint="default"/>
                <w:color w:val="auto"/>
              </w:rPr>
              <w:t>后</w:t>
            </w:r>
            <w:r>
              <w:rPr>
                <w:rFonts w:hint="eastAsia"/>
                <w:color w:val="auto"/>
                <w:lang w:eastAsia="zh-CN"/>
              </w:rPr>
              <w:t>排入现有的市政污水管网后集中处理</w:t>
            </w:r>
          </w:p>
        </w:tc>
        <w:tc>
          <w:tcPr>
            <w:tcW w:w="1965" w:type="dxa"/>
            <w:vMerge w:val="restart"/>
            <w:noWrap w:val="0"/>
            <w:vAlign w:val="center"/>
          </w:tcPr>
          <w:p>
            <w:pPr>
              <w:pStyle w:val="28"/>
              <w:keepNext/>
              <w:keepLines/>
              <w:pageBreakBefore w:val="0"/>
              <w:bidi w:val="0"/>
              <w:rPr>
                <w:rFonts w:hint="eastAsia"/>
                <w:color w:val="auto"/>
                <w:lang w:eastAsia="zh-CN"/>
              </w:rPr>
            </w:pPr>
            <w:r>
              <w:rPr>
                <w:rFonts w:hint="eastAsia"/>
                <w:color w:val="auto"/>
                <w:lang w:val="en-US" w:eastAsia="zh-CN"/>
              </w:rPr>
              <w:t>《污水排入城镇下水道水质标准》（GB/T31962-2015）表1中的B等级标准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vMerge w:val="continue"/>
            <w:noWrap w:val="0"/>
            <w:vAlign w:val="center"/>
          </w:tcPr>
          <w:p>
            <w:pPr>
              <w:pStyle w:val="28"/>
              <w:keepNext/>
              <w:keepLines/>
              <w:pageBreakBefore w:val="0"/>
              <w:bidi w:val="0"/>
              <w:rPr>
                <w:rFonts w:hint="eastAsia"/>
                <w:color w:val="auto"/>
              </w:rPr>
            </w:pPr>
          </w:p>
        </w:tc>
        <w:tc>
          <w:tcPr>
            <w:tcW w:w="770" w:type="dxa"/>
            <w:vMerge w:val="continue"/>
            <w:noWrap w:val="0"/>
            <w:vAlign w:val="center"/>
          </w:tcPr>
          <w:p>
            <w:pPr>
              <w:pStyle w:val="28"/>
              <w:keepNext/>
              <w:keepLines/>
              <w:pageBreakBefore w:val="0"/>
              <w:bidi w:val="0"/>
              <w:rPr>
                <w:rFonts w:hint="default"/>
                <w:color w:val="auto"/>
              </w:rPr>
            </w:pPr>
          </w:p>
        </w:tc>
        <w:tc>
          <w:tcPr>
            <w:tcW w:w="771" w:type="dxa"/>
            <w:noWrap w:val="0"/>
            <w:vAlign w:val="center"/>
          </w:tcPr>
          <w:p>
            <w:pPr>
              <w:pStyle w:val="28"/>
              <w:keepNext/>
              <w:keepLines/>
              <w:pageBreakBefore w:val="0"/>
              <w:bidi w:val="0"/>
              <w:rPr>
                <w:rFonts w:hint="default" w:eastAsia="宋体" w:asciiTheme="minorAscii" w:hAnsiTheme="minorAscii" w:cstheme="minorBidi"/>
                <w:color w:val="auto"/>
                <w:sz w:val="21"/>
                <w:lang w:val="en-US" w:eastAsia="zh-CN"/>
              </w:rPr>
            </w:pPr>
            <w:r>
              <w:rPr>
                <w:color w:val="auto"/>
                <w:lang w:val="en-US" w:eastAsia="zh-CN"/>
              </w:rPr>
              <w:t>实验室废水</w:t>
            </w:r>
          </w:p>
        </w:tc>
        <w:tc>
          <w:tcPr>
            <w:tcW w:w="1487" w:type="dxa"/>
            <w:vMerge w:val="continue"/>
            <w:noWrap w:val="0"/>
            <w:vAlign w:val="center"/>
          </w:tcPr>
          <w:p>
            <w:pPr>
              <w:pStyle w:val="28"/>
              <w:keepNext/>
              <w:keepLines/>
              <w:pageBreakBefore w:val="0"/>
              <w:bidi w:val="0"/>
              <w:rPr>
                <w:rFonts w:hint="default"/>
                <w:color w:val="auto"/>
              </w:rPr>
            </w:pPr>
          </w:p>
        </w:tc>
        <w:tc>
          <w:tcPr>
            <w:tcW w:w="2420" w:type="dxa"/>
            <w:noWrap w:val="0"/>
            <w:vAlign w:val="center"/>
          </w:tcPr>
          <w:p>
            <w:pPr>
              <w:pStyle w:val="28"/>
              <w:keepNext/>
              <w:keepLines/>
              <w:pageBreakBefore w:val="0"/>
              <w:bidi w:val="0"/>
              <w:rPr>
                <w:rFonts w:hint="default"/>
                <w:color w:val="auto"/>
                <w:lang w:val="en-US" w:eastAsia="zh-CN"/>
              </w:rPr>
            </w:pPr>
            <w:r>
              <w:rPr>
                <w:rFonts w:hint="eastAsia"/>
                <w:color w:val="auto"/>
                <w:lang w:eastAsia="zh-CN"/>
              </w:rPr>
              <w:t>经</w:t>
            </w:r>
            <w:r>
              <w:rPr>
                <w:rFonts w:hint="eastAsia"/>
                <w:color w:val="auto"/>
                <w:lang w:val="en-US" w:eastAsia="zh-CN"/>
              </w:rPr>
              <w:t>实验室废水处理装置处理后排入新建化粪池集中收集后</w:t>
            </w:r>
            <w:r>
              <w:rPr>
                <w:rFonts w:hint="eastAsia"/>
                <w:color w:val="auto"/>
                <w:lang w:eastAsia="zh-CN"/>
              </w:rPr>
              <w:t>排入现有的市政污水管网后集中处理</w:t>
            </w:r>
          </w:p>
        </w:tc>
        <w:tc>
          <w:tcPr>
            <w:tcW w:w="1965" w:type="dxa"/>
            <w:vMerge w:val="continue"/>
            <w:noWrap w:val="0"/>
            <w:vAlign w:val="center"/>
          </w:tcPr>
          <w:p>
            <w:pPr>
              <w:pStyle w:val="28"/>
              <w:keepNext/>
              <w:keepLines/>
              <w:pageBreakBefore w:val="0"/>
              <w:bidi w:val="0"/>
              <w:rPr>
                <w:rFonts w:hint="eastAsia"/>
                <w:color w:val="auto"/>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7" w:type="dxa"/>
            <w:vMerge w:val="continue"/>
            <w:noWrap w:val="0"/>
            <w:vAlign w:val="center"/>
          </w:tcPr>
          <w:p>
            <w:pPr>
              <w:pStyle w:val="28"/>
              <w:keepNext/>
              <w:keepLines/>
              <w:pageBreakBefore w:val="0"/>
              <w:bidi w:val="0"/>
              <w:rPr>
                <w:rFonts w:hint="eastAsia"/>
                <w:color w:val="auto"/>
              </w:rPr>
            </w:pPr>
          </w:p>
        </w:tc>
        <w:tc>
          <w:tcPr>
            <w:tcW w:w="1541" w:type="dxa"/>
            <w:gridSpan w:val="2"/>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锅炉房废水</w:t>
            </w:r>
          </w:p>
        </w:tc>
        <w:tc>
          <w:tcPr>
            <w:tcW w:w="1487" w:type="dxa"/>
            <w:noWrap w:val="0"/>
            <w:vAlign w:val="center"/>
          </w:tcPr>
          <w:p>
            <w:pPr>
              <w:pStyle w:val="28"/>
              <w:keepNext/>
              <w:keepLines/>
              <w:pageBreakBefore w:val="0"/>
              <w:bidi w:val="0"/>
              <w:rPr>
                <w:rFonts w:hint="default" w:eastAsia="宋体"/>
                <w:color w:val="auto"/>
                <w:lang w:val="en-US" w:eastAsia="zh-CN"/>
              </w:rPr>
            </w:pPr>
            <w:r>
              <w:rPr>
                <w:rFonts w:hint="eastAsia"/>
                <w:color w:val="auto"/>
                <w:lang w:val="en-US" w:eastAsia="zh-CN"/>
              </w:rPr>
              <w:t>清净下水</w:t>
            </w:r>
          </w:p>
        </w:tc>
        <w:tc>
          <w:tcPr>
            <w:tcW w:w="2420" w:type="dxa"/>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直接排入污水管网</w:t>
            </w:r>
          </w:p>
        </w:tc>
        <w:tc>
          <w:tcPr>
            <w:tcW w:w="1965" w:type="dxa"/>
            <w:vMerge w:val="continue"/>
            <w:noWrap w:val="0"/>
            <w:vAlign w:val="center"/>
          </w:tcPr>
          <w:p>
            <w:pPr>
              <w:pStyle w:val="28"/>
              <w:keepNext/>
              <w:keepLines/>
              <w:pageBreakBefore w:val="0"/>
              <w:bidi w:val="0"/>
              <w:rPr>
                <w:rFonts w:hint="default"/>
                <w:color w:va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387" w:type="dxa"/>
            <w:noWrap w:val="0"/>
            <w:vAlign w:val="center"/>
          </w:tcPr>
          <w:p>
            <w:pPr>
              <w:pStyle w:val="28"/>
              <w:keepNext/>
              <w:keepLines/>
              <w:pageBreakBefore w:val="0"/>
              <w:bidi w:val="0"/>
              <w:rPr>
                <w:rFonts w:hint="eastAsia"/>
                <w:color w:val="auto"/>
              </w:rPr>
            </w:pPr>
            <w:r>
              <w:rPr>
                <w:rFonts w:hint="eastAsia"/>
                <w:color w:val="auto"/>
              </w:rPr>
              <w:t>声环境</w:t>
            </w:r>
          </w:p>
        </w:tc>
        <w:tc>
          <w:tcPr>
            <w:tcW w:w="1541" w:type="dxa"/>
            <w:gridSpan w:val="2"/>
            <w:noWrap w:val="0"/>
            <w:vAlign w:val="center"/>
          </w:tcPr>
          <w:p>
            <w:pPr>
              <w:pStyle w:val="28"/>
              <w:keepNext/>
              <w:keepLines/>
              <w:pageBreakBefore w:val="0"/>
              <w:bidi w:val="0"/>
              <w:rPr>
                <w:rFonts w:hint="eastAsia"/>
                <w:color w:val="auto"/>
              </w:rPr>
            </w:pPr>
            <w:r>
              <w:rPr>
                <w:color w:val="auto"/>
                <w:lang w:val="en-US" w:eastAsia="zh-CN"/>
              </w:rPr>
              <w:t>给、排水泵</w:t>
            </w:r>
            <w:r>
              <w:rPr>
                <w:rFonts w:hint="eastAsia"/>
                <w:color w:val="auto"/>
                <w:lang w:val="en-US" w:eastAsia="zh-CN"/>
              </w:rPr>
              <w:t>、</w:t>
            </w:r>
            <w:r>
              <w:rPr>
                <w:color w:val="auto"/>
                <w:lang w:val="en-US" w:eastAsia="zh-CN"/>
              </w:rPr>
              <w:t>地下设备、配电</w:t>
            </w:r>
            <w:r>
              <w:rPr>
                <w:rFonts w:hint="default"/>
                <w:color w:val="auto"/>
                <w:lang w:val="en-US" w:eastAsia="zh-CN"/>
              </w:rPr>
              <w:t>设施等设备</w:t>
            </w:r>
            <w:r>
              <w:rPr>
                <w:rFonts w:hint="eastAsia"/>
                <w:color w:val="auto"/>
                <w:lang w:val="en-US" w:eastAsia="zh-CN"/>
              </w:rPr>
              <w:t>、</w:t>
            </w:r>
            <w:r>
              <w:rPr>
                <w:color w:val="auto"/>
                <w:lang w:val="en-US" w:eastAsia="zh-CN"/>
              </w:rPr>
              <w:t>校内车辆</w:t>
            </w:r>
            <w:r>
              <w:rPr>
                <w:rFonts w:hint="eastAsia"/>
                <w:color w:val="auto"/>
                <w:lang w:val="en-US" w:eastAsia="zh-CN"/>
              </w:rPr>
              <w:t>、</w:t>
            </w:r>
            <w:r>
              <w:rPr>
                <w:color w:val="auto"/>
                <w:lang w:val="en-US" w:eastAsia="zh-CN"/>
              </w:rPr>
              <w:t>社会生活</w:t>
            </w:r>
          </w:p>
        </w:tc>
        <w:tc>
          <w:tcPr>
            <w:tcW w:w="1487" w:type="dxa"/>
            <w:noWrap w:val="0"/>
            <w:vAlign w:val="center"/>
          </w:tcPr>
          <w:p>
            <w:pPr>
              <w:pStyle w:val="28"/>
              <w:keepNext/>
              <w:keepLines/>
              <w:pageBreakBefore w:val="0"/>
              <w:bidi w:val="0"/>
              <w:rPr>
                <w:rFonts w:hint="eastAsia"/>
                <w:color w:val="auto"/>
              </w:rPr>
            </w:pPr>
            <w:r>
              <w:rPr>
                <w:rFonts w:hint="default"/>
                <w:color w:val="auto"/>
              </w:rPr>
              <w:t>噪声</w:t>
            </w:r>
          </w:p>
        </w:tc>
        <w:tc>
          <w:tcPr>
            <w:tcW w:w="2420" w:type="dxa"/>
            <w:noWrap w:val="0"/>
            <w:vAlign w:val="center"/>
          </w:tcPr>
          <w:p>
            <w:pPr>
              <w:pStyle w:val="28"/>
              <w:keepNext/>
              <w:keepLines/>
              <w:pageBreakBefore w:val="0"/>
              <w:bidi w:val="0"/>
              <w:rPr>
                <w:rFonts w:hint="eastAsia"/>
                <w:color w:val="auto"/>
              </w:rPr>
            </w:pPr>
            <w:r>
              <w:rPr>
                <w:color w:val="auto"/>
                <w:lang w:val="en-US" w:eastAsia="zh-CN"/>
              </w:rPr>
              <w:t>低噪声设备，安</w:t>
            </w:r>
            <w:r>
              <w:rPr>
                <w:rFonts w:hint="default"/>
                <w:color w:val="auto"/>
                <w:lang w:val="en-US" w:eastAsia="zh-CN"/>
              </w:rPr>
              <w:t>装消声器、减振垫、隔声吸声填料等</w:t>
            </w:r>
          </w:p>
        </w:tc>
        <w:tc>
          <w:tcPr>
            <w:tcW w:w="1965" w:type="dxa"/>
            <w:noWrap w:val="0"/>
            <w:vAlign w:val="center"/>
          </w:tcPr>
          <w:p>
            <w:pPr>
              <w:pStyle w:val="28"/>
              <w:keepNext/>
              <w:keepLines/>
              <w:pageBreakBefore w:val="0"/>
              <w:bidi w:val="0"/>
              <w:rPr>
                <w:rFonts w:hint="default"/>
                <w:color w:val="auto"/>
                <w:lang w:val="en-US" w:eastAsia="zh-CN"/>
              </w:rPr>
            </w:pPr>
            <w:r>
              <w:rPr>
                <w:color w:val="auto"/>
                <w:lang w:val="en-US" w:eastAsia="zh-CN"/>
              </w:rPr>
              <w:t>《工业企业厂</w:t>
            </w:r>
            <w:r>
              <w:rPr>
                <w:rFonts w:hint="default"/>
                <w:color w:val="auto"/>
                <w:lang w:val="en-US" w:eastAsia="zh-CN"/>
              </w:rPr>
              <w:t>界环境噪声排放标准》 （GB12348-2008）</w:t>
            </w:r>
          </w:p>
          <w:p>
            <w:pPr>
              <w:pStyle w:val="28"/>
              <w:keepNext/>
              <w:keepLines/>
              <w:pageBreakBefore w:val="0"/>
              <w:bidi w:val="0"/>
              <w:rPr>
                <w:rFonts w:hint="eastAsia"/>
                <w:color w:val="auto"/>
              </w:rPr>
            </w:pPr>
            <w:r>
              <w:rPr>
                <w:rFonts w:hint="default"/>
                <w:color w:val="auto"/>
                <w:lang w:val="en-US" w:eastAsia="zh-CN"/>
              </w:rPr>
              <w:t>1类标准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387" w:type="dxa"/>
            <w:noWrap w:val="0"/>
            <w:vAlign w:val="center"/>
          </w:tcPr>
          <w:p>
            <w:pPr>
              <w:pStyle w:val="28"/>
              <w:keepNext/>
              <w:keepLines/>
              <w:pageBreakBefore w:val="0"/>
              <w:bidi w:val="0"/>
              <w:rPr>
                <w:rFonts w:hint="eastAsia"/>
                <w:color w:val="auto"/>
              </w:rPr>
            </w:pPr>
            <w:r>
              <w:rPr>
                <w:rFonts w:hint="eastAsia"/>
                <w:color w:val="auto"/>
              </w:rPr>
              <w:t>电磁辐射</w:t>
            </w:r>
          </w:p>
        </w:tc>
        <w:tc>
          <w:tcPr>
            <w:tcW w:w="1541" w:type="dxa"/>
            <w:gridSpan w:val="2"/>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w:t>
            </w:r>
          </w:p>
        </w:tc>
        <w:tc>
          <w:tcPr>
            <w:tcW w:w="1487" w:type="dxa"/>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w:t>
            </w:r>
          </w:p>
        </w:tc>
        <w:tc>
          <w:tcPr>
            <w:tcW w:w="2420" w:type="dxa"/>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w:t>
            </w:r>
          </w:p>
        </w:tc>
        <w:tc>
          <w:tcPr>
            <w:tcW w:w="1965" w:type="dxa"/>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387" w:type="dxa"/>
            <w:noWrap w:val="0"/>
            <w:vAlign w:val="center"/>
          </w:tcPr>
          <w:p>
            <w:pPr>
              <w:pStyle w:val="28"/>
              <w:keepNext/>
              <w:keepLines/>
              <w:pageBreakBefore w:val="0"/>
              <w:bidi w:val="0"/>
              <w:rPr>
                <w:rFonts w:hint="eastAsia"/>
                <w:color w:val="auto"/>
              </w:rPr>
            </w:pPr>
            <w:r>
              <w:rPr>
                <w:rFonts w:hint="eastAsia"/>
                <w:color w:val="auto"/>
              </w:rPr>
              <w:t>固体废物</w:t>
            </w:r>
          </w:p>
        </w:tc>
        <w:tc>
          <w:tcPr>
            <w:tcW w:w="7413" w:type="dxa"/>
            <w:gridSpan w:val="5"/>
            <w:noWrap w:val="0"/>
            <w:vAlign w:val="center"/>
          </w:tcPr>
          <w:p>
            <w:pPr>
              <w:pStyle w:val="28"/>
              <w:keepNext/>
              <w:keepLines/>
              <w:pageBreakBefore w:val="0"/>
              <w:bidi w:val="0"/>
              <w:rPr>
                <w:rFonts w:hint="eastAsia"/>
                <w:color w:val="auto"/>
              </w:rPr>
            </w:pPr>
            <w:r>
              <w:rPr>
                <w:color w:val="auto"/>
                <w:lang w:val="en-US" w:eastAsia="zh-CN"/>
              </w:rPr>
              <w:t>实验</w:t>
            </w:r>
            <w:r>
              <w:rPr>
                <w:rFonts w:hint="eastAsia"/>
                <w:color w:val="auto"/>
                <w:lang w:val="en-US" w:eastAsia="zh-CN"/>
              </w:rPr>
              <w:t>玻璃型</w:t>
            </w:r>
            <w:r>
              <w:rPr>
                <w:color w:val="auto"/>
                <w:lang w:val="en-US" w:eastAsia="zh-CN"/>
              </w:rPr>
              <w:t>废物</w:t>
            </w:r>
            <w:r>
              <w:rPr>
                <w:rFonts w:hint="eastAsia"/>
                <w:color w:val="auto"/>
                <w:lang w:eastAsia="zh-CN"/>
              </w:rPr>
              <w:t>和</w:t>
            </w:r>
            <w:r>
              <w:rPr>
                <w:rFonts w:hint="eastAsia"/>
                <w:color w:val="auto"/>
              </w:rPr>
              <w:t>生活垃圾经垃圾桶集中收集后由环卫部门定期清运处置；</w:t>
            </w:r>
            <w:r>
              <w:rPr>
                <w:rFonts w:hint="eastAsia"/>
                <w:color w:val="auto"/>
                <w:lang w:val="en-US" w:eastAsia="zh-CN"/>
              </w:rPr>
              <w:t>废弃外包装回收给资源回收单位；离子交换树脂更换时由厂家带走；</w:t>
            </w:r>
            <w:r>
              <w:rPr>
                <w:color w:val="auto"/>
                <w:lang w:val="en-US" w:eastAsia="zh-CN"/>
              </w:rPr>
              <w:t>化学实验</w:t>
            </w:r>
            <w:r>
              <w:rPr>
                <w:rFonts w:hint="eastAsia"/>
                <w:color w:val="auto"/>
                <w:lang w:val="en-US" w:eastAsia="zh-CN"/>
              </w:rPr>
              <w:t>液使用HDPE废液桶收集</w:t>
            </w:r>
            <w:r>
              <w:rPr>
                <w:rFonts w:hint="eastAsia"/>
                <w:color w:val="auto"/>
              </w:rPr>
              <w:t>，</w:t>
            </w:r>
            <w:r>
              <w:rPr>
                <w:rFonts w:hint="eastAsia"/>
                <w:color w:val="auto"/>
                <w:lang w:val="en-US" w:eastAsia="zh-CN"/>
              </w:rPr>
              <w:t>设置危废贮存库5m</w:t>
            </w:r>
            <w:r>
              <w:rPr>
                <w:rFonts w:hint="eastAsia"/>
                <w:color w:val="auto"/>
                <w:vertAlign w:val="superscript"/>
                <w:lang w:val="en-US" w:eastAsia="zh-CN"/>
              </w:rPr>
              <w:t>3</w:t>
            </w:r>
            <w:r>
              <w:rPr>
                <w:rFonts w:hint="eastAsia"/>
                <w:color w:val="auto"/>
                <w:lang w:val="en-US" w:eastAsia="zh-CN"/>
              </w:rPr>
              <w:t>，</w:t>
            </w:r>
            <w:r>
              <w:rPr>
                <w:rFonts w:hint="eastAsia"/>
                <w:color w:val="auto"/>
              </w:rPr>
              <w:t>并委托有相关处置资质的单位进行清运处理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87" w:type="dxa"/>
            <w:noWrap w:val="0"/>
            <w:vAlign w:val="center"/>
          </w:tcPr>
          <w:p>
            <w:pPr>
              <w:pStyle w:val="28"/>
              <w:keepNext/>
              <w:keepLines/>
              <w:pageBreakBefore w:val="0"/>
              <w:bidi w:val="0"/>
              <w:rPr>
                <w:rFonts w:hint="eastAsia"/>
                <w:color w:val="auto"/>
              </w:rPr>
            </w:pPr>
            <w:r>
              <w:rPr>
                <w:rFonts w:hint="eastAsia"/>
                <w:color w:val="auto"/>
              </w:rPr>
              <w:t>土壤及地下水污染防治措施</w:t>
            </w:r>
          </w:p>
        </w:tc>
        <w:tc>
          <w:tcPr>
            <w:tcW w:w="7413" w:type="dxa"/>
            <w:gridSpan w:val="5"/>
            <w:noWrap w:val="0"/>
            <w:vAlign w:val="center"/>
          </w:tcPr>
          <w:p>
            <w:pPr>
              <w:pStyle w:val="28"/>
              <w:keepNext/>
              <w:keepLines/>
              <w:pageBreakBefore w:val="0"/>
              <w:bidi w:val="0"/>
              <w:rPr>
                <w:rFonts w:hint="eastAsia"/>
                <w:color w:val="auto"/>
              </w:rPr>
            </w:pPr>
            <w:r>
              <w:rPr>
                <w:rFonts w:hint="eastAsia"/>
                <w:color w:val="auto"/>
                <w:lang w:val="en-US" w:eastAsia="zh-CN"/>
              </w:rPr>
              <w:t>危废贮存库</w:t>
            </w:r>
            <w:r>
              <w:rPr>
                <w:color w:val="auto"/>
                <w:lang w:val="en-US" w:eastAsia="zh-CN"/>
              </w:rPr>
              <w:t>做好防渗</w:t>
            </w:r>
            <w:r>
              <w:rPr>
                <w:rFonts w:hint="eastAsia"/>
                <w:color w:val="auto"/>
                <w:lang w:val="en-US" w:eastAsia="zh-CN"/>
              </w:rPr>
              <w:t>措施</w:t>
            </w:r>
            <w:r>
              <w:rPr>
                <w:color w:val="auto"/>
                <w:lang w:val="en-US" w:eastAsia="zh-CN"/>
              </w:rPr>
              <w:t>。</w:t>
            </w:r>
            <w:r>
              <w:rPr>
                <w:rFonts w:hint="eastAsia"/>
                <w:color w:val="auto"/>
                <w:lang w:val="en-US" w:eastAsia="zh-CN"/>
              </w:rPr>
              <w:t>防渗层为至少1米厚粘土层（渗透系数≤10</w:t>
            </w:r>
            <w:r>
              <w:rPr>
                <w:rFonts w:hint="eastAsia"/>
                <w:color w:val="auto"/>
                <w:vertAlign w:val="superscript"/>
                <w:lang w:val="en-US" w:eastAsia="zh-CN"/>
              </w:rPr>
              <w:t>-7</w:t>
            </w:r>
            <w:r>
              <w:rPr>
                <w:rFonts w:hint="eastAsia"/>
                <w:color w:val="auto"/>
                <w:lang w:val="en-US" w:eastAsia="zh-CN"/>
              </w:rPr>
              <w:t>厘米/秒），或2毫米厚高密度聚乙烯，或至少2毫米厚的其它人工材料，渗透系数≤10</w:t>
            </w:r>
            <w:r>
              <w:rPr>
                <w:rFonts w:hint="eastAsia"/>
                <w:color w:val="auto"/>
                <w:vertAlign w:val="superscript"/>
                <w:lang w:val="en-US" w:eastAsia="zh-CN"/>
              </w:rPr>
              <w:t>-10</w:t>
            </w:r>
            <w:r>
              <w:rPr>
                <w:rFonts w:hint="eastAsia"/>
                <w:color w:val="auto"/>
                <w:lang w:val="en-US" w:eastAsia="zh-CN"/>
              </w:rPr>
              <w:t>厘米/秒；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1387" w:type="dxa"/>
            <w:noWrap w:val="0"/>
            <w:vAlign w:val="center"/>
          </w:tcPr>
          <w:p>
            <w:pPr>
              <w:pStyle w:val="28"/>
              <w:keepNext/>
              <w:keepLines/>
              <w:pageBreakBefore w:val="0"/>
              <w:bidi w:val="0"/>
              <w:rPr>
                <w:rFonts w:hint="eastAsia"/>
                <w:color w:val="auto"/>
              </w:rPr>
            </w:pPr>
            <w:r>
              <w:rPr>
                <w:rFonts w:hint="eastAsia"/>
                <w:color w:val="auto"/>
              </w:rPr>
              <w:t>生态保护措施</w:t>
            </w:r>
          </w:p>
        </w:tc>
        <w:tc>
          <w:tcPr>
            <w:tcW w:w="7413" w:type="dxa"/>
            <w:gridSpan w:val="5"/>
            <w:noWrap w:val="0"/>
            <w:vAlign w:val="center"/>
          </w:tcPr>
          <w:p>
            <w:pPr>
              <w:pStyle w:val="28"/>
              <w:keepNext/>
              <w:keepLines/>
              <w:pageBreakBefore w:val="0"/>
              <w:bidi w:val="0"/>
              <w:rPr>
                <w:rFonts w:hint="eastAsia"/>
                <w:color w:val="auto"/>
                <w:lang w:val="en-US" w:eastAsia="zh-CN"/>
              </w:rPr>
            </w:pPr>
            <w:r>
              <w:rPr>
                <w:rFonts w:hint="eastAsia"/>
                <w:color w:val="auto"/>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1387" w:type="dxa"/>
            <w:noWrap w:val="0"/>
            <w:vAlign w:val="center"/>
          </w:tcPr>
          <w:p>
            <w:pPr>
              <w:pStyle w:val="28"/>
              <w:keepNext/>
              <w:keepLines/>
              <w:pageBreakBefore w:val="0"/>
              <w:bidi w:val="0"/>
              <w:rPr>
                <w:color w:val="auto"/>
              </w:rPr>
            </w:pPr>
            <w:r>
              <w:rPr>
                <w:rFonts w:hint="eastAsia"/>
                <w:color w:val="auto"/>
              </w:rPr>
              <w:t>环境风险</w:t>
            </w:r>
          </w:p>
          <w:p>
            <w:pPr>
              <w:pStyle w:val="28"/>
              <w:keepNext/>
              <w:keepLines/>
              <w:pageBreakBefore w:val="0"/>
              <w:bidi w:val="0"/>
              <w:rPr>
                <w:rFonts w:hint="eastAsia"/>
                <w:color w:val="auto"/>
              </w:rPr>
            </w:pPr>
            <w:r>
              <w:rPr>
                <w:rFonts w:hint="eastAsia"/>
                <w:color w:val="auto"/>
              </w:rPr>
              <w:t>防范措施</w:t>
            </w:r>
          </w:p>
        </w:tc>
        <w:tc>
          <w:tcPr>
            <w:tcW w:w="7413" w:type="dxa"/>
            <w:gridSpan w:val="5"/>
            <w:noWrap w:val="0"/>
            <w:vAlign w:val="center"/>
          </w:tcPr>
          <w:p>
            <w:pPr>
              <w:pStyle w:val="28"/>
              <w:keepNext/>
              <w:keepLines/>
              <w:pageBreakBefore w:val="0"/>
              <w:bidi w:val="0"/>
              <w:rPr>
                <w:rFonts w:hint="default"/>
                <w:color w:val="auto"/>
                <w:lang w:val="en-US" w:eastAsia="zh-CN"/>
              </w:rPr>
            </w:pPr>
            <w:r>
              <w:rPr>
                <w:rFonts w:hint="eastAsia"/>
                <w:color w:val="auto"/>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387" w:type="dxa"/>
            <w:noWrap w:val="0"/>
            <w:vAlign w:val="center"/>
          </w:tcPr>
          <w:p>
            <w:pPr>
              <w:pStyle w:val="28"/>
              <w:keepNext/>
              <w:keepLines/>
              <w:pageBreakBefore w:val="0"/>
              <w:bidi w:val="0"/>
              <w:rPr>
                <w:color w:val="auto"/>
              </w:rPr>
            </w:pPr>
            <w:r>
              <w:rPr>
                <w:rFonts w:hint="eastAsia"/>
                <w:color w:val="auto"/>
              </w:rPr>
              <w:t>其他环境</w:t>
            </w:r>
          </w:p>
          <w:p>
            <w:pPr>
              <w:pStyle w:val="28"/>
              <w:keepNext/>
              <w:keepLines/>
              <w:pageBreakBefore w:val="0"/>
              <w:bidi w:val="0"/>
              <w:rPr>
                <w:rFonts w:hint="eastAsia"/>
                <w:color w:val="auto"/>
              </w:rPr>
            </w:pPr>
            <w:r>
              <w:rPr>
                <w:rFonts w:hint="eastAsia"/>
                <w:color w:val="auto"/>
              </w:rPr>
              <w:t>管理要求</w:t>
            </w:r>
          </w:p>
        </w:tc>
        <w:tc>
          <w:tcPr>
            <w:tcW w:w="7413" w:type="dxa"/>
            <w:gridSpan w:val="5"/>
            <w:noWrap w:val="0"/>
            <w:vAlign w:val="center"/>
          </w:tcPr>
          <w:p>
            <w:pPr>
              <w:pStyle w:val="60"/>
              <w:bidi w:val="0"/>
              <w:ind w:left="0" w:leftChars="0" w:firstLine="0" w:firstLineChars="0"/>
              <w:rPr>
                <w:rFonts w:hint="default"/>
                <w:color w:val="auto"/>
                <w:sz w:val="21"/>
                <w:szCs w:val="21"/>
                <w:lang w:val="en-US" w:eastAsia="zh-CN"/>
              </w:rPr>
            </w:pPr>
            <w:r>
              <w:rPr>
                <w:rFonts w:hint="eastAsia"/>
                <w:color w:val="auto"/>
                <w:sz w:val="21"/>
                <w:szCs w:val="21"/>
                <w:lang w:val="en-US" w:eastAsia="zh-CN"/>
              </w:rPr>
              <w:t xml:space="preserve">1、环境管理计划 </w:t>
            </w:r>
          </w:p>
          <w:p>
            <w:pPr>
              <w:pStyle w:val="60"/>
              <w:bidi w:val="0"/>
              <w:rPr>
                <w:rFonts w:hint="default"/>
                <w:color w:val="auto"/>
                <w:sz w:val="21"/>
                <w:szCs w:val="21"/>
                <w:lang w:val="en-US" w:eastAsia="zh-CN"/>
              </w:rPr>
            </w:pPr>
            <w:r>
              <w:rPr>
                <w:rFonts w:hint="eastAsia"/>
                <w:color w:val="auto"/>
                <w:sz w:val="21"/>
                <w:szCs w:val="21"/>
                <w:lang w:val="en-US" w:eastAsia="zh-CN"/>
              </w:rPr>
              <w:t xml:space="preserve">本项目的环境管理由内部设置的环保专职人员负责。包括： </w:t>
            </w:r>
          </w:p>
          <w:p>
            <w:pPr>
              <w:pStyle w:val="60"/>
              <w:bidi w:val="0"/>
              <w:rPr>
                <w:rFonts w:hint="default"/>
                <w:color w:val="auto"/>
                <w:sz w:val="21"/>
                <w:szCs w:val="21"/>
                <w:lang w:val="en-US" w:eastAsia="zh-CN"/>
              </w:rPr>
            </w:pPr>
            <w:r>
              <w:rPr>
                <w:rFonts w:hint="eastAsia"/>
                <w:color w:val="auto"/>
                <w:sz w:val="21"/>
                <w:szCs w:val="21"/>
                <w:lang w:val="en-US" w:eastAsia="zh-CN"/>
              </w:rPr>
              <w:t xml:space="preserve">① 应建立详细、全面的基础资料及数据档案； </w:t>
            </w:r>
          </w:p>
          <w:p>
            <w:pPr>
              <w:pStyle w:val="60"/>
              <w:bidi w:val="0"/>
              <w:rPr>
                <w:rFonts w:hint="default"/>
                <w:color w:val="auto"/>
                <w:sz w:val="21"/>
                <w:szCs w:val="21"/>
                <w:lang w:val="en-US" w:eastAsia="zh-CN"/>
              </w:rPr>
            </w:pPr>
            <w:r>
              <w:rPr>
                <w:rFonts w:hint="eastAsia"/>
                <w:color w:val="auto"/>
                <w:sz w:val="21"/>
                <w:szCs w:val="21"/>
                <w:lang w:val="en-US" w:eastAsia="zh-CN"/>
              </w:rPr>
              <w:t xml:space="preserve">② 收集所有环保设施的操作方法、运行状况及修理维护等方面资料； </w:t>
            </w:r>
          </w:p>
          <w:p>
            <w:pPr>
              <w:pStyle w:val="60"/>
              <w:bidi w:val="0"/>
              <w:rPr>
                <w:rFonts w:hint="default"/>
                <w:color w:val="auto"/>
                <w:sz w:val="21"/>
                <w:szCs w:val="21"/>
                <w:lang w:val="en-US" w:eastAsia="zh-CN"/>
              </w:rPr>
            </w:pPr>
            <w:r>
              <w:rPr>
                <w:rFonts w:hint="eastAsia"/>
                <w:color w:val="auto"/>
                <w:sz w:val="21"/>
                <w:szCs w:val="21"/>
                <w:lang w:val="en-US" w:eastAsia="zh-CN"/>
              </w:rPr>
              <w:t xml:space="preserve">③ 保存国家及地方颁发的环境保护标准、环保法律法规各类文件； </w:t>
            </w:r>
          </w:p>
          <w:p>
            <w:pPr>
              <w:pStyle w:val="60"/>
              <w:bidi w:val="0"/>
              <w:rPr>
                <w:rFonts w:hint="default"/>
                <w:color w:val="auto"/>
                <w:sz w:val="21"/>
                <w:szCs w:val="21"/>
                <w:lang w:val="en-US" w:eastAsia="zh-CN"/>
              </w:rPr>
            </w:pPr>
            <w:r>
              <w:rPr>
                <w:rFonts w:hint="eastAsia"/>
                <w:color w:val="auto"/>
                <w:sz w:val="21"/>
                <w:szCs w:val="21"/>
                <w:lang w:val="en-US" w:eastAsia="zh-CN"/>
              </w:rPr>
              <w:t xml:space="preserve">④ 定期了解污染源的例行监测情况； </w:t>
            </w:r>
          </w:p>
          <w:p>
            <w:pPr>
              <w:pStyle w:val="60"/>
              <w:bidi w:val="0"/>
              <w:rPr>
                <w:rFonts w:hint="default"/>
                <w:color w:val="auto"/>
                <w:sz w:val="21"/>
                <w:szCs w:val="21"/>
                <w:lang w:val="en-US" w:eastAsia="zh-CN"/>
              </w:rPr>
            </w:pPr>
            <w:r>
              <w:rPr>
                <w:rFonts w:hint="eastAsia"/>
                <w:color w:val="auto"/>
                <w:sz w:val="21"/>
                <w:szCs w:val="21"/>
                <w:lang w:val="en-US" w:eastAsia="zh-CN"/>
              </w:rPr>
              <w:t>⑤ 对所有师生进行环保法律、法规教育，提高其环境保护意识；</w:t>
            </w:r>
          </w:p>
          <w:p>
            <w:pPr>
              <w:pStyle w:val="60"/>
              <w:bidi w:val="0"/>
              <w:rPr>
                <w:rFonts w:hint="default"/>
                <w:color w:val="auto"/>
                <w:sz w:val="21"/>
                <w:szCs w:val="21"/>
                <w:lang w:val="en-US" w:eastAsia="zh-CN"/>
              </w:rPr>
            </w:pPr>
            <w:r>
              <w:rPr>
                <w:rFonts w:hint="eastAsia"/>
                <w:color w:val="auto"/>
                <w:sz w:val="21"/>
                <w:szCs w:val="21"/>
                <w:lang w:val="en-US" w:eastAsia="zh-CN"/>
              </w:rPr>
              <w:t>⑥ 定期对操作人员进行环境保护设施的正确操作、安全运行及维护检修等方面的培训；</w:t>
            </w:r>
          </w:p>
          <w:p>
            <w:pPr>
              <w:pStyle w:val="60"/>
              <w:bidi w:val="0"/>
              <w:rPr>
                <w:rFonts w:hint="default"/>
                <w:color w:val="auto"/>
                <w:sz w:val="21"/>
                <w:szCs w:val="21"/>
                <w:lang w:val="en-US" w:eastAsia="zh-CN"/>
              </w:rPr>
            </w:pPr>
            <w:r>
              <w:rPr>
                <w:rFonts w:hint="eastAsia"/>
                <w:color w:val="auto"/>
                <w:sz w:val="21"/>
                <w:szCs w:val="21"/>
                <w:lang w:val="en-US" w:eastAsia="zh-CN"/>
              </w:rPr>
              <w:t>⑦ 环保管理专职人员应具备环保法律、法规、监测分析及环境工程等方面专业知识。</w:t>
            </w:r>
          </w:p>
          <w:p>
            <w:pPr>
              <w:pStyle w:val="60"/>
              <w:bidi w:val="0"/>
              <w:ind w:left="0" w:leftChars="0" w:firstLine="0" w:firstLineChars="0"/>
              <w:rPr>
                <w:rFonts w:hint="default"/>
                <w:color w:val="auto"/>
                <w:sz w:val="21"/>
                <w:szCs w:val="21"/>
                <w:lang w:val="en-US" w:eastAsia="zh-CN"/>
              </w:rPr>
            </w:pPr>
            <w:r>
              <w:rPr>
                <w:rFonts w:hint="eastAsia"/>
                <w:color w:val="auto"/>
                <w:sz w:val="21"/>
                <w:szCs w:val="21"/>
                <w:lang w:val="en-US" w:eastAsia="zh-CN"/>
              </w:rPr>
              <w:t>2、学校建成后对周边环境的要求</w:t>
            </w:r>
          </w:p>
          <w:p>
            <w:pPr>
              <w:pStyle w:val="60"/>
              <w:bidi w:val="0"/>
              <w:rPr>
                <w:rFonts w:hint="eastAsia"/>
                <w:color w:val="auto"/>
                <w:lang w:val="en-US" w:eastAsia="zh-CN"/>
              </w:rPr>
            </w:pPr>
            <w:r>
              <w:rPr>
                <w:rFonts w:hint="eastAsia"/>
                <w:color w:val="auto"/>
                <w:sz w:val="21"/>
                <w:szCs w:val="21"/>
                <w:lang w:val="en-US" w:eastAsia="zh-CN"/>
              </w:rPr>
              <w:t>在学校周边200米内新建建设项目，应当征求市、县、区等教育行政部门意见，严格按照学校环境保护的要求统筹规划；任何单位和个人不得依靠学校围墙或其他建筑物进行施工和搭建建筑物、构筑物；影响学校校舍采光、通风的建筑物、构筑物和影响学校教学环境的噪声、有害气体等，都应当限期治理，消除影响；学校周边500米内不得新建易燃易爆物品经营场所；</w:t>
            </w:r>
          </w:p>
          <w:p>
            <w:pPr>
              <w:pStyle w:val="28"/>
              <w:keepNext/>
              <w:keepLines/>
              <w:pageBreakBefore w:val="0"/>
              <w:bidi w:val="0"/>
              <w:rPr>
                <w:rFonts w:hint="eastAsia"/>
                <w:color w:val="auto"/>
                <w:lang w:val="en-US" w:eastAsia="zh-CN"/>
              </w:rPr>
            </w:pPr>
          </w:p>
        </w:tc>
      </w:tr>
    </w:tbl>
    <w:p>
      <w:pPr>
        <w:pStyle w:val="17"/>
        <w:keepNext/>
        <w:keepLines/>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ascii="黑体" w:hAnsi="黑体" w:eastAsia="黑体"/>
          <w:snapToGrid w:val="0"/>
          <w:color w:val="auto"/>
          <w:sz w:val="30"/>
          <w:szCs w:val="30"/>
        </w:rPr>
      </w:pPr>
      <w:r>
        <w:rPr>
          <w:snapToGrid w:val="0"/>
          <w:color w:val="auto"/>
        </w:rPr>
        <w:br w:type="page"/>
      </w:r>
      <w:r>
        <w:rPr>
          <w:rFonts w:hint="eastAsia" w:ascii="黑体" w:hAnsi="黑体" w:eastAsia="黑体"/>
          <w:snapToGrid w:val="0"/>
          <w:color w:val="auto"/>
          <w:sz w:val="30"/>
          <w:szCs w:val="30"/>
        </w:rPr>
        <w:t>六、结论</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noWrap w:val="0"/>
            <w:vAlign w:val="top"/>
          </w:tcPr>
          <w:p>
            <w:pPr>
              <w:keepNext/>
              <w:keepLines/>
              <w:pageBreakBefore w:val="0"/>
              <w:bidi w:val="0"/>
              <w:spacing w:line="360" w:lineRule="auto"/>
              <w:ind w:firstLine="480" w:firstLineChars="200"/>
              <w:jc w:val="left"/>
              <w:rPr>
                <w:rFonts w:hint="default" w:ascii="Times New Roman" w:hAnsi="Times New Roman" w:cs="Times New Roman"/>
                <w:color w:val="auto"/>
                <w:sz w:val="24"/>
              </w:rPr>
            </w:pPr>
          </w:p>
          <w:p>
            <w:pPr>
              <w:keepNext/>
              <w:keepLines/>
              <w:pageBreakBefore w:val="0"/>
              <w:bidi w:val="0"/>
              <w:spacing w:line="360" w:lineRule="auto"/>
              <w:ind w:firstLine="480" w:firstLineChars="200"/>
              <w:jc w:val="both"/>
              <w:rPr>
                <w:rFonts w:ascii="宋体" w:cs="宋体"/>
                <w:color w:val="auto"/>
                <w:sz w:val="24"/>
              </w:rPr>
            </w:pPr>
            <w:r>
              <w:rPr>
                <w:rFonts w:ascii="宋体" w:cs="宋体"/>
                <w:color w:val="auto"/>
                <w:sz w:val="24"/>
                <w:lang w:val="en-US" w:eastAsia="zh-CN"/>
              </w:rPr>
              <w:t>综上所述：本项目符合国家和地方产业政策；选</w:t>
            </w:r>
            <w:r>
              <w:rPr>
                <w:rFonts w:hint="default" w:ascii="宋体" w:cs="宋体"/>
                <w:color w:val="auto"/>
                <w:sz w:val="24"/>
                <w:lang w:val="en-US" w:eastAsia="zh-CN"/>
              </w:rPr>
              <w:t>址符合区域用地规划要求。拟采用的各项污染防治措施合理、有效，大气污染物、噪声均可实现达标排放，固体废物</w:t>
            </w:r>
            <w:r>
              <w:rPr>
                <w:rFonts w:hint="eastAsia" w:ascii="宋体" w:cs="宋体"/>
                <w:color w:val="auto"/>
                <w:sz w:val="24"/>
                <w:lang w:val="en-US" w:eastAsia="zh-CN"/>
              </w:rPr>
              <w:t>合理处置</w:t>
            </w:r>
            <w:r>
              <w:rPr>
                <w:rFonts w:hint="default" w:ascii="宋体" w:cs="宋体"/>
                <w:color w:val="auto"/>
                <w:sz w:val="24"/>
                <w:lang w:val="en-US" w:eastAsia="zh-CN"/>
              </w:rPr>
              <w:t>；项目</w:t>
            </w:r>
            <w:r>
              <w:rPr>
                <w:rFonts w:hint="eastAsia" w:ascii="宋体" w:cs="宋体"/>
                <w:color w:val="auto"/>
                <w:sz w:val="24"/>
                <w:lang w:val="en-US" w:eastAsia="zh-CN"/>
              </w:rPr>
              <w:t>运营</w:t>
            </w:r>
            <w:r>
              <w:rPr>
                <w:rFonts w:hint="default" w:ascii="宋体" w:cs="宋体"/>
                <w:color w:val="auto"/>
                <w:sz w:val="24"/>
                <w:lang w:val="en-US" w:eastAsia="zh-CN"/>
              </w:rPr>
              <w:t>后，对周边环境污染影响不明显；环保投资可基本满足污染控制需要。因此在下一步的工程设计和建设中，如能严格落实建设单位既定的污染防治措施和本报告表中提出的各项环境保护对策建议，从环保角度分析，本项目在拟建地建设是可行的。</w:t>
            </w:r>
          </w:p>
          <w:p>
            <w:pPr>
              <w:keepNext/>
              <w:keepLines/>
              <w:pageBreakBefore w:val="0"/>
              <w:bidi w:val="0"/>
              <w:spacing w:line="360" w:lineRule="auto"/>
              <w:jc w:val="center"/>
              <w:rPr>
                <w:rFonts w:ascii="宋体" w:cs="宋体"/>
                <w:color w:val="auto"/>
                <w:sz w:val="24"/>
              </w:rPr>
            </w:pPr>
          </w:p>
        </w:tc>
      </w:tr>
    </w:tbl>
    <w:p>
      <w:pPr>
        <w:keepNext/>
        <w:keepLines/>
        <w:pageBreakBefore w:val="0"/>
        <w:bidi w:val="0"/>
        <w:rPr>
          <w:rFonts w:ascii="宋体"/>
          <w:color w:val="auto"/>
        </w:rPr>
        <w:sectPr>
          <w:pgSz w:w="11906" w:h="16838"/>
          <w:pgMar w:top="1701" w:right="1531" w:bottom="1701" w:left="1531" w:header="851" w:footer="850" w:gutter="0"/>
          <w:pgBorders>
            <w:top w:val="none" w:sz="0" w:space="0"/>
            <w:left w:val="none" w:sz="0" w:space="0"/>
            <w:bottom w:val="none" w:sz="0" w:space="0"/>
            <w:right w:val="none" w:sz="0" w:space="0"/>
          </w:pgBorders>
          <w:pgNumType w:fmt="decimal"/>
          <w:cols w:space="720" w:num="1"/>
          <w:rtlGutter w:val="0"/>
          <w:docGrid w:type="lines" w:linePitch="312" w:charSpace="0"/>
        </w:sectPr>
      </w:pPr>
    </w:p>
    <w:p>
      <w:pPr>
        <w:pStyle w:val="17"/>
        <w:keepNext/>
        <w:keepLines/>
        <w:pageBreakBefore w:val="0"/>
        <w:widowControl/>
        <w:kinsoku/>
        <w:wordWrap/>
        <w:overflowPunct/>
        <w:topLinePunct w:val="0"/>
        <w:autoSpaceDE/>
        <w:autoSpaceDN/>
        <w:bidi w:val="0"/>
        <w:adjustRightInd w:val="0"/>
        <w:snapToGrid w:val="0"/>
        <w:spacing w:before="0" w:beforeAutospacing="0" w:after="0" w:afterAutospacing="0" w:line="240" w:lineRule="auto"/>
        <w:textAlignment w:val="auto"/>
        <w:outlineLvl w:val="0"/>
        <w:rPr>
          <w:rFonts w:ascii="黑体" w:hAnsi="黑体" w:eastAsia="黑体"/>
          <w:snapToGrid w:val="0"/>
          <w:color w:val="auto"/>
          <w:sz w:val="32"/>
          <w:szCs w:val="32"/>
        </w:rPr>
      </w:pPr>
      <w:r>
        <w:rPr>
          <w:rFonts w:hint="eastAsia" w:ascii="黑体" w:hAnsi="黑体" w:eastAsia="黑体"/>
          <w:snapToGrid w:val="0"/>
          <w:color w:val="auto"/>
          <w:sz w:val="32"/>
          <w:szCs w:val="32"/>
        </w:rPr>
        <w:t>附表</w:t>
      </w:r>
    </w:p>
    <w:p>
      <w:pPr>
        <w:pStyle w:val="17"/>
        <w:keepNext/>
        <w:keepLines/>
        <w:pageBreakBefore w:val="0"/>
        <w:widowControl/>
        <w:kinsoku/>
        <w:wordWrap/>
        <w:overflowPunct/>
        <w:topLinePunct w:val="0"/>
        <w:autoSpaceDE/>
        <w:autoSpaceDN/>
        <w:bidi w:val="0"/>
        <w:adjustRightInd w:val="0"/>
        <w:snapToGrid w:val="0"/>
        <w:spacing w:before="0" w:beforeAutospacing="0" w:after="0" w:afterAutospacing="0" w:line="240" w:lineRule="auto"/>
        <w:jc w:val="center"/>
        <w:textAlignment w:val="auto"/>
        <w:outlineLvl w:val="0"/>
        <w:rPr>
          <w:rFonts w:hint="eastAsia" w:ascii="方正小标宋_GBK" w:hAnsi="黑体" w:eastAsia="方正小标宋_GBK"/>
          <w:snapToGrid w:val="0"/>
          <w:color w:val="auto"/>
          <w:sz w:val="40"/>
          <w:szCs w:val="40"/>
        </w:rPr>
      </w:pPr>
      <w:r>
        <w:rPr>
          <w:rFonts w:hint="eastAsia" w:ascii="方正小标宋_GBK" w:hAnsi="黑体" w:eastAsia="方正小标宋_GBK"/>
          <w:snapToGrid w:val="0"/>
          <w:color w:val="auto"/>
          <w:sz w:val="40"/>
          <w:szCs w:val="40"/>
        </w:rPr>
        <w:t>建设项目污染物排放量汇总表</w:t>
      </w:r>
    </w:p>
    <w:tbl>
      <w:tblPr>
        <w:tblStyle w:val="2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428"/>
        <w:gridCol w:w="1500"/>
        <w:gridCol w:w="1583"/>
        <w:gridCol w:w="1950"/>
        <w:gridCol w:w="13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tcBorders>
              <w:tl2br w:val="single" w:color="auto" w:sz="4" w:space="0"/>
            </w:tcBorders>
            <w:noWrap w:val="0"/>
            <w:tcMar>
              <w:left w:w="28" w:type="dxa"/>
              <w:right w:w="28" w:type="dxa"/>
            </w:tcMar>
            <w:vAlign w:val="center"/>
          </w:tcPr>
          <w:p>
            <w:pPr>
              <w:pStyle w:val="44"/>
              <w:keepNext/>
              <w:keepLines/>
              <w:pageBreakBefore w:val="0"/>
              <w:bidi w:val="0"/>
              <w:spacing w:beforeLines="0" w:afterLines="0" w:line="240" w:lineRule="auto"/>
              <w:jc w:val="right"/>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项目</w:t>
            </w:r>
          </w:p>
          <w:p>
            <w:pPr>
              <w:pStyle w:val="44"/>
              <w:keepNext/>
              <w:keepLines/>
              <w:pageBreakBefore w:val="0"/>
              <w:bidi w:val="0"/>
              <w:spacing w:beforeLines="0" w:afterLines="0" w:line="240" w:lineRule="auto"/>
              <w:jc w:val="left"/>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分类</w:t>
            </w:r>
          </w:p>
        </w:tc>
        <w:tc>
          <w:tcPr>
            <w:tcW w:w="1417"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污染物名称</w:t>
            </w:r>
          </w:p>
        </w:tc>
        <w:tc>
          <w:tcPr>
            <w:tcW w:w="1701"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现有工程</w:t>
            </w:r>
          </w:p>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排放量（固体废物产生量）</w:t>
            </w:r>
            <w:r>
              <w:rPr>
                <w:rFonts w:hint="eastAsia" w:ascii="宋体" w:hAnsi="宋体" w:eastAsia="宋体" w:cs="宋体"/>
                <w:snapToGrid w:val="0"/>
                <w:color w:val="auto"/>
                <w:spacing w:val="-6"/>
                <w:kern w:val="21"/>
                <w:sz w:val="21"/>
                <w:szCs w:val="21"/>
              </w:rPr>
              <w:fldChar w:fldCharType="begin"/>
            </w:r>
            <w:r>
              <w:rPr>
                <w:rFonts w:hint="eastAsia" w:ascii="宋体" w:hAnsi="宋体" w:eastAsia="宋体" w:cs="宋体"/>
                <w:snapToGrid w:val="0"/>
                <w:color w:val="auto"/>
                <w:spacing w:val="-6"/>
                <w:kern w:val="21"/>
                <w:sz w:val="21"/>
                <w:szCs w:val="21"/>
              </w:rPr>
              <w:instrText xml:space="preserve"> = 1 \* GB3 \* MERGEFORMAT </w:instrText>
            </w:r>
            <w:r>
              <w:rPr>
                <w:rFonts w:hint="eastAsia" w:ascii="宋体" w:hAnsi="宋体" w:eastAsia="宋体" w:cs="宋体"/>
                <w:snapToGrid w:val="0"/>
                <w:color w:val="auto"/>
                <w:spacing w:val="-6"/>
                <w:kern w:val="21"/>
                <w:sz w:val="21"/>
                <w:szCs w:val="21"/>
              </w:rPr>
              <w:fldChar w:fldCharType="separate"/>
            </w:r>
            <w:r>
              <w:rPr>
                <w:rFonts w:hint="eastAsia" w:ascii="宋体" w:hAnsi="宋体" w:eastAsia="宋体" w:cs="宋体"/>
                <w:color w:val="auto"/>
                <w:kern w:val="2"/>
                <w:sz w:val="21"/>
                <w:szCs w:val="21"/>
              </w:rPr>
              <w:t>①</w:t>
            </w:r>
            <w:r>
              <w:rPr>
                <w:rFonts w:hint="eastAsia" w:ascii="宋体" w:hAnsi="宋体" w:eastAsia="宋体" w:cs="宋体"/>
                <w:snapToGrid w:val="0"/>
                <w:color w:val="auto"/>
                <w:spacing w:val="-6"/>
                <w:kern w:val="21"/>
                <w:sz w:val="21"/>
                <w:szCs w:val="21"/>
              </w:rPr>
              <w:fldChar w:fldCharType="end"/>
            </w:r>
          </w:p>
        </w:tc>
        <w:tc>
          <w:tcPr>
            <w:tcW w:w="1276"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现有工程</w:t>
            </w:r>
          </w:p>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许可排放量</w:t>
            </w:r>
          </w:p>
          <w:p>
            <w:pPr>
              <w:pStyle w:val="44"/>
              <w:keepNext/>
              <w:keepLines/>
              <w:pageBreakBefore w:val="0"/>
              <w:bidi w:val="0"/>
              <w:spacing w:beforeLines="0" w:afterLines="0"/>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fldChar w:fldCharType="begin"/>
            </w:r>
            <w:r>
              <w:rPr>
                <w:rFonts w:hint="eastAsia" w:ascii="宋体" w:hAnsi="宋体" w:eastAsia="宋体" w:cs="宋体"/>
                <w:snapToGrid w:val="0"/>
                <w:color w:val="auto"/>
                <w:spacing w:val="-6"/>
                <w:kern w:val="21"/>
                <w:sz w:val="21"/>
                <w:szCs w:val="21"/>
              </w:rPr>
              <w:instrText xml:space="preserve"> = 2 \* GB3 \* MERGEFORMAT </w:instrText>
            </w:r>
            <w:r>
              <w:rPr>
                <w:rFonts w:hint="eastAsia" w:ascii="宋体" w:hAnsi="宋体" w:eastAsia="宋体" w:cs="宋体"/>
                <w:snapToGrid w:val="0"/>
                <w:color w:val="auto"/>
                <w:spacing w:val="-6"/>
                <w:kern w:val="21"/>
                <w:sz w:val="21"/>
                <w:szCs w:val="21"/>
              </w:rPr>
              <w:fldChar w:fldCharType="separate"/>
            </w:r>
            <w:r>
              <w:rPr>
                <w:rFonts w:hint="eastAsia" w:ascii="宋体" w:hAnsi="宋体" w:eastAsia="宋体" w:cs="宋体"/>
                <w:snapToGrid w:val="0"/>
                <w:color w:val="auto"/>
                <w:spacing w:val="-6"/>
                <w:kern w:val="21"/>
                <w:sz w:val="21"/>
                <w:szCs w:val="21"/>
              </w:rPr>
              <w:t>②</w:t>
            </w:r>
            <w:r>
              <w:rPr>
                <w:rFonts w:hint="eastAsia" w:ascii="宋体" w:hAnsi="宋体" w:eastAsia="宋体" w:cs="宋体"/>
                <w:snapToGrid w:val="0"/>
                <w:color w:val="auto"/>
                <w:spacing w:val="-6"/>
                <w:kern w:val="21"/>
                <w:sz w:val="21"/>
                <w:szCs w:val="21"/>
              </w:rPr>
              <w:fldChar w:fldCharType="end"/>
            </w:r>
          </w:p>
        </w:tc>
        <w:tc>
          <w:tcPr>
            <w:tcW w:w="1428"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在建工程</w:t>
            </w:r>
          </w:p>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排放量（固体废物产生量）</w:t>
            </w:r>
            <w:r>
              <w:rPr>
                <w:rFonts w:hint="eastAsia" w:ascii="宋体" w:hAnsi="宋体" w:eastAsia="宋体" w:cs="宋体"/>
                <w:snapToGrid w:val="0"/>
                <w:color w:val="auto"/>
                <w:spacing w:val="-6"/>
                <w:kern w:val="21"/>
                <w:sz w:val="21"/>
                <w:szCs w:val="21"/>
              </w:rPr>
              <w:fldChar w:fldCharType="begin"/>
            </w:r>
            <w:r>
              <w:rPr>
                <w:rFonts w:hint="eastAsia" w:ascii="宋体" w:hAnsi="宋体" w:eastAsia="宋体" w:cs="宋体"/>
                <w:snapToGrid w:val="0"/>
                <w:color w:val="auto"/>
                <w:spacing w:val="-6"/>
                <w:kern w:val="21"/>
                <w:sz w:val="21"/>
                <w:szCs w:val="21"/>
              </w:rPr>
              <w:instrText xml:space="preserve"> = 3 \* GB3 \* MERGEFORMAT </w:instrText>
            </w:r>
            <w:r>
              <w:rPr>
                <w:rFonts w:hint="eastAsia" w:ascii="宋体" w:hAnsi="宋体" w:eastAsia="宋体" w:cs="宋体"/>
                <w:snapToGrid w:val="0"/>
                <w:color w:val="auto"/>
                <w:spacing w:val="-6"/>
                <w:kern w:val="21"/>
                <w:sz w:val="21"/>
                <w:szCs w:val="21"/>
              </w:rPr>
              <w:fldChar w:fldCharType="separate"/>
            </w:r>
            <w:r>
              <w:rPr>
                <w:rFonts w:hint="eastAsia" w:ascii="宋体" w:hAnsi="宋体" w:eastAsia="宋体" w:cs="宋体"/>
                <w:color w:val="auto"/>
                <w:kern w:val="2"/>
                <w:sz w:val="21"/>
                <w:szCs w:val="21"/>
              </w:rPr>
              <w:t>③</w:t>
            </w:r>
            <w:r>
              <w:rPr>
                <w:rFonts w:hint="eastAsia" w:ascii="宋体" w:hAnsi="宋体" w:eastAsia="宋体" w:cs="宋体"/>
                <w:snapToGrid w:val="0"/>
                <w:color w:val="auto"/>
                <w:spacing w:val="-6"/>
                <w:kern w:val="21"/>
                <w:sz w:val="21"/>
                <w:szCs w:val="21"/>
              </w:rPr>
              <w:fldChar w:fldCharType="end"/>
            </w:r>
          </w:p>
        </w:tc>
        <w:tc>
          <w:tcPr>
            <w:tcW w:w="1500"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本项目</w:t>
            </w:r>
          </w:p>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排放量（固体废物产生量）</w:t>
            </w:r>
            <w:r>
              <w:rPr>
                <w:rFonts w:hint="eastAsia" w:ascii="宋体" w:hAnsi="宋体" w:eastAsia="宋体" w:cs="宋体"/>
                <w:snapToGrid w:val="0"/>
                <w:color w:val="auto"/>
                <w:spacing w:val="-6"/>
                <w:kern w:val="21"/>
                <w:sz w:val="21"/>
                <w:szCs w:val="21"/>
              </w:rPr>
              <w:fldChar w:fldCharType="begin"/>
            </w:r>
            <w:r>
              <w:rPr>
                <w:rFonts w:hint="eastAsia" w:ascii="宋体" w:hAnsi="宋体" w:eastAsia="宋体" w:cs="宋体"/>
                <w:snapToGrid w:val="0"/>
                <w:color w:val="auto"/>
                <w:spacing w:val="-6"/>
                <w:kern w:val="21"/>
                <w:sz w:val="21"/>
                <w:szCs w:val="21"/>
              </w:rPr>
              <w:instrText xml:space="preserve"> = 4 \* GB3 \* MERGEFORMAT </w:instrText>
            </w:r>
            <w:r>
              <w:rPr>
                <w:rFonts w:hint="eastAsia" w:ascii="宋体" w:hAnsi="宋体" w:eastAsia="宋体" w:cs="宋体"/>
                <w:snapToGrid w:val="0"/>
                <w:color w:val="auto"/>
                <w:spacing w:val="-6"/>
                <w:kern w:val="21"/>
                <w:sz w:val="21"/>
                <w:szCs w:val="21"/>
              </w:rPr>
              <w:fldChar w:fldCharType="separate"/>
            </w:r>
            <w:r>
              <w:rPr>
                <w:rFonts w:hint="eastAsia" w:ascii="宋体" w:hAnsi="宋体" w:eastAsia="宋体" w:cs="宋体"/>
                <w:color w:val="auto"/>
                <w:kern w:val="2"/>
                <w:sz w:val="21"/>
                <w:szCs w:val="21"/>
              </w:rPr>
              <w:t>④</w:t>
            </w:r>
            <w:r>
              <w:rPr>
                <w:rFonts w:hint="eastAsia" w:ascii="宋体" w:hAnsi="宋体" w:eastAsia="宋体" w:cs="宋体"/>
                <w:snapToGrid w:val="0"/>
                <w:color w:val="auto"/>
                <w:spacing w:val="-6"/>
                <w:kern w:val="21"/>
                <w:sz w:val="21"/>
                <w:szCs w:val="21"/>
              </w:rPr>
              <w:fldChar w:fldCharType="end"/>
            </w:r>
          </w:p>
        </w:tc>
        <w:tc>
          <w:tcPr>
            <w:tcW w:w="1583"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16"/>
                <w:kern w:val="21"/>
                <w:sz w:val="21"/>
                <w:szCs w:val="21"/>
              </w:rPr>
            </w:pPr>
            <w:r>
              <w:rPr>
                <w:rFonts w:hint="eastAsia" w:ascii="宋体" w:hAnsi="宋体" w:eastAsia="宋体" w:cs="宋体"/>
                <w:snapToGrid w:val="0"/>
                <w:color w:val="auto"/>
                <w:spacing w:val="-16"/>
                <w:kern w:val="21"/>
                <w:sz w:val="21"/>
                <w:szCs w:val="21"/>
              </w:rPr>
              <w:t>以新带老削减量</w:t>
            </w:r>
          </w:p>
          <w:p>
            <w:pPr>
              <w:pStyle w:val="44"/>
              <w:keepNext/>
              <w:keepLines/>
              <w:pageBreakBefore w:val="0"/>
              <w:bidi w:val="0"/>
              <w:spacing w:beforeLines="0" w:afterLines="0" w:line="240" w:lineRule="auto"/>
              <w:rPr>
                <w:rFonts w:hint="eastAsia" w:ascii="宋体" w:hAnsi="宋体" w:eastAsia="宋体" w:cs="宋体"/>
                <w:snapToGrid w:val="0"/>
                <w:color w:val="auto"/>
                <w:spacing w:val="-16"/>
                <w:kern w:val="21"/>
                <w:sz w:val="21"/>
                <w:szCs w:val="21"/>
              </w:rPr>
            </w:pPr>
            <w:r>
              <w:rPr>
                <w:rFonts w:hint="eastAsia" w:ascii="宋体" w:hAnsi="宋体" w:eastAsia="宋体" w:cs="宋体"/>
                <w:snapToGrid w:val="0"/>
                <w:color w:val="auto"/>
                <w:spacing w:val="-16"/>
                <w:kern w:val="21"/>
                <w:sz w:val="21"/>
                <w:szCs w:val="21"/>
              </w:rPr>
              <w:t>（新建项目不填）</w:t>
            </w:r>
            <w:r>
              <w:rPr>
                <w:rFonts w:hint="eastAsia" w:ascii="宋体" w:hAnsi="宋体" w:eastAsia="宋体" w:cs="宋体"/>
                <w:snapToGrid w:val="0"/>
                <w:color w:val="auto"/>
                <w:spacing w:val="-16"/>
                <w:kern w:val="21"/>
                <w:sz w:val="21"/>
                <w:szCs w:val="21"/>
              </w:rPr>
              <w:fldChar w:fldCharType="begin"/>
            </w:r>
            <w:r>
              <w:rPr>
                <w:rFonts w:hint="eastAsia" w:ascii="宋体" w:hAnsi="宋体" w:eastAsia="宋体" w:cs="宋体"/>
                <w:snapToGrid w:val="0"/>
                <w:color w:val="auto"/>
                <w:spacing w:val="-16"/>
                <w:kern w:val="21"/>
                <w:sz w:val="21"/>
                <w:szCs w:val="21"/>
              </w:rPr>
              <w:instrText xml:space="preserve"> = 5 \* GB3 \* MERGEFORMAT </w:instrText>
            </w:r>
            <w:r>
              <w:rPr>
                <w:rFonts w:hint="eastAsia" w:ascii="宋体" w:hAnsi="宋体" w:eastAsia="宋体" w:cs="宋体"/>
                <w:snapToGrid w:val="0"/>
                <w:color w:val="auto"/>
                <w:spacing w:val="-16"/>
                <w:kern w:val="21"/>
                <w:sz w:val="21"/>
                <w:szCs w:val="21"/>
              </w:rPr>
              <w:fldChar w:fldCharType="separate"/>
            </w:r>
            <w:r>
              <w:rPr>
                <w:rFonts w:hint="eastAsia" w:ascii="宋体" w:hAnsi="宋体" w:eastAsia="宋体" w:cs="宋体"/>
                <w:color w:val="auto"/>
                <w:kern w:val="2"/>
                <w:sz w:val="21"/>
                <w:szCs w:val="21"/>
              </w:rPr>
              <w:t>⑤</w:t>
            </w:r>
            <w:r>
              <w:rPr>
                <w:rFonts w:hint="eastAsia" w:ascii="宋体" w:hAnsi="宋体" w:eastAsia="宋体" w:cs="宋体"/>
                <w:snapToGrid w:val="0"/>
                <w:color w:val="auto"/>
                <w:spacing w:val="-16"/>
                <w:kern w:val="21"/>
                <w:sz w:val="21"/>
                <w:szCs w:val="21"/>
              </w:rPr>
              <w:fldChar w:fldCharType="end"/>
            </w:r>
          </w:p>
        </w:tc>
        <w:tc>
          <w:tcPr>
            <w:tcW w:w="1950"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16"/>
                <w:kern w:val="21"/>
                <w:sz w:val="21"/>
                <w:szCs w:val="21"/>
              </w:rPr>
            </w:pPr>
            <w:r>
              <w:rPr>
                <w:rFonts w:hint="eastAsia" w:ascii="宋体" w:hAnsi="宋体" w:eastAsia="宋体" w:cs="宋体"/>
                <w:snapToGrid w:val="0"/>
                <w:color w:val="auto"/>
                <w:spacing w:val="-16"/>
                <w:kern w:val="21"/>
                <w:sz w:val="21"/>
                <w:szCs w:val="21"/>
              </w:rPr>
              <w:t>本项目建成后</w:t>
            </w:r>
          </w:p>
          <w:p>
            <w:pPr>
              <w:pStyle w:val="44"/>
              <w:keepNext/>
              <w:keepLines/>
              <w:pageBreakBefore w:val="0"/>
              <w:bidi w:val="0"/>
              <w:spacing w:beforeLines="0" w:afterLines="0" w:line="240" w:lineRule="auto"/>
              <w:rPr>
                <w:rFonts w:hint="eastAsia" w:ascii="宋体" w:hAnsi="宋体" w:eastAsia="宋体" w:cs="宋体"/>
                <w:snapToGrid w:val="0"/>
                <w:color w:val="auto"/>
                <w:spacing w:val="-16"/>
                <w:kern w:val="21"/>
                <w:sz w:val="21"/>
                <w:szCs w:val="21"/>
              </w:rPr>
            </w:pPr>
            <w:r>
              <w:rPr>
                <w:rFonts w:hint="eastAsia" w:ascii="宋体" w:hAnsi="宋体" w:eastAsia="宋体" w:cs="宋体"/>
                <w:snapToGrid w:val="0"/>
                <w:color w:val="auto"/>
                <w:spacing w:val="-16"/>
                <w:kern w:val="21"/>
                <w:sz w:val="21"/>
                <w:szCs w:val="21"/>
              </w:rPr>
              <w:t>全厂排放量（固体废物产生量）</w:t>
            </w:r>
            <w:r>
              <w:rPr>
                <w:rFonts w:hint="eastAsia" w:ascii="宋体" w:hAnsi="宋体" w:eastAsia="宋体" w:cs="宋体"/>
                <w:snapToGrid w:val="0"/>
                <w:color w:val="auto"/>
                <w:spacing w:val="-16"/>
                <w:kern w:val="21"/>
                <w:sz w:val="21"/>
                <w:szCs w:val="21"/>
              </w:rPr>
              <w:fldChar w:fldCharType="begin"/>
            </w:r>
            <w:r>
              <w:rPr>
                <w:rFonts w:hint="eastAsia" w:ascii="宋体" w:hAnsi="宋体" w:eastAsia="宋体" w:cs="宋体"/>
                <w:snapToGrid w:val="0"/>
                <w:color w:val="auto"/>
                <w:spacing w:val="-16"/>
                <w:kern w:val="21"/>
                <w:sz w:val="21"/>
                <w:szCs w:val="21"/>
              </w:rPr>
              <w:instrText xml:space="preserve"> = 6 \* GB3 \* MERGEFORMAT </w:instrText>
            </w:r>
            <w:r>
              <w:rPr>
                <w:rFonts w:hint="eastAsia" w:ascii="宋体" w:hAnsi="宋体" w:eastAsia="宋体" w:cs="宋体"/>
                <w:snapToGrid w:val="0"/>
                <w:color w:val="auto"/>
                <w:spacing w:val="-16"/>
                <w:kern w:val="21"/>
                <w:sz w:val="21"/>
                <w:szCs w:val="21"/>
              </w:rPr>
              <w:fldChar w:fldCharType="separate"/>
            </w:r>
            <w:r>
              <w:rPr>
                <w:rFonts w:hint="eastAsia" w:ascii="宋体" w:hAnsi="宋体" w:eastAsia="宋体" w:cs="宋体"/>
                <w:color w:val="auto"/>
                <w:kern w:val="2"/>
                <w:sz w:val="21"/>
                <w:szCs w:val="21"/>
              </w:rPr>
              <w:t>⑥</w:t>
            </w:r>
            <w:r>
              <w:rPr>
                <w:rFonts w:hint="eastAsia" w:ascii="宋体" w:hAnsi="宋体" w:eastAsia="宋体" w:cs="宋体"/>
                <w:snapToGrid w:val="0"/>
                <w:color w:val="auto"/>
                <w:spacing w:val="-16"/>
                <w:kern w:val="21"/>
                <w:sz w:val="21"/>
                <w:szCs w:val="21"/>
              </w:rPr>
              <w:fldChar w:fldCharType="end"/>
            </w:r>
          </w:p>
        </w:tc>
        <w:tc>
          <w:tcPr>
            <w:tcW w:w="1345" w:type="dxa"/>
            <w:noWrap w:val="0"/>
            <w:tcMar>
              <w:left w:w="28" w:type="dxa"/>
              <w:right w:w="28" w:type="dxa"/>
            </w:tcMar>
            <w:vAlign w:val="center"/>
          </w:tcPr>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t>变化量</w:t>
            </w:r>
          </w:p>
          <w:p>
            <w:pPr>
              <w:pStyle w:val="44"/>
              <w:keepNext/>
              <w:keepLines/>
              <w:pageBreakBefore w:val="0"/>
              <w:bidi w:val="0"/>
              <w:spacing w:beforeLines="0" w:afterLines="0" w:line="240" w:lineRule="auto"/>
              <w:rPr>
                <w:rFonts w:hint="eastAsia" w:ascii="宋体" w:hAnsi="宋体" w:eastAsia="宋体" w:cs="宋体"/>
                <w:snapToGrid w:val="0"/>
                <w:color w:val="auto"/>
                <w:spacing w:val="-6"/>
                <w:kern w:val="21"/>
                <w:sz w:val="21"/>
                <w:szCs w:val="21"/>
              </w:rPr>
            </w:pPr>
            <w:r>
              <w:rPr>
                <w:rFonts w:hint="eastAsia" w:ascii="宋体" w:hAnsi="宋体" w:eastAsia="宋体" w:cs="宋体"/>
                <w:snapToGrid w:val="0"/>
                <w:color w:val="auto"/>
                <w:spacing w:val="-6"/>
                <w:kern w:val="21"/>
                <w:sz w:val="21"/>
                <w:szCs w:val="21"/>
              </w:rPr>
              <w:fldChar w:fldCharType="begin"/>
            </w:r>
            <w:r>
              <w:rPr>
                <w:rFonts w:hint="eastAsia" w:ascii="宋体" w:hAnsi="宋体" w:eastAsia="宋体" w:cs="宋体"/>
                <w:snapToGrid w:val="0"/>
                <w:color w:val="auto"/>
                <w:spacing w:val="-6"/>
                <w:kern w:val="21"/>
                <w:sz w:val="21"/>
                <w:szCs w:val="21"/>
              </w:rPr>
              <w:instrText xml:space="preserve"> = 7 \* GB3 \* MERGEFORMAT </w:instrText>
            </w:r>
            <w:r>
              <w:rPr>
                <w:rFonts w:hint="eastAsia" w:ascii="宋体" w:hAnsi="宋体" w:eastAsia="宋体" w:cs="宋体"/>
                <w:snapToGrid w:val="0"/>
                <w:color w:val="auto"/>
                <w:spacing w:val="-6"/>
                <w:kern w:val="21"/>
                <w:sz w:val="21"/>
                <w:szCs w:val="21"/>
              </w:rPr>
              <w:fldChar w:fldCharType="separate"/>
            </w:r>
            <w:r>
              <w:rPr>
                <w:rFonts w:hint="eastAsia" w:ascii="宋体" w:hAnsi="宋体" w:eastAsia="宋体" w:cs="宋体"/>
                <w:color w:val="auto"/>
                <w:kern w:val="2"/>
                <w:sz w:val="21"/>
                <w:szCs w:val="21"/>
              </w:rPr>
              <w:t>⑦</w:t>
            </w:r>
            <w:r>
              <w:rPr>
                <w:rFonts w:hint="eastAsia" w:ascii="宋体" w:hAnsi="宋体" w:eastAsia="宋体" w:cs="宋体"/>
                <w:snapToGrid w:val="0"/>
                <w:color w:val="auto"/>
                <w:spacing w:val="-6"/>
                <w:kern w:val="21"/>
                <w:sz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restart"/>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r>
              <w:rPr>
                <w:rFonts w:hint="eastAsia" w:hAnsi="宋体" w:cs="宋体"/>
                <w:snapToGrid w:val="0"/>
                <w:color w:val="auto"/>
                <w:kern w:val="21"/>
                <w:sz w:val="21"/>
                <w:szCs w:val="21"/>
                <w:lang w:val="en-US" w:eastAsia="zh-CN"/>
              </w:rPr>
              <w:t>废气</w:t>
            </w: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氮氧化物</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267</w:t>
            </w:r>
            <w:r>
              <w:rPr>
                <w:rFonts w:hint="eastAsia" w:ascii="宋体" w:hAnsi="宋体" w:eastAsia="宋体" w:cs="宋体"/>
                <w:color w:val="auto"/>
                <w:sz w:val="21"/>
                <w:szCs w:val="21"/>
                <w:lang w:val="en-US" w:eastAsia="zh-CN"/>
              </w:rPr>
              <w:t>t/a</w:t>
            </w:r>
          </w:p>
        </w:tc>
        <w:tc>
          <w:tcPr>
            <w:tcW w:w="1583" w:type="dxa"/>
            <w:noWrap w:val="0"/>
            <w:vAlign w:val="center"/>
          </w:tcPr>
          <w:p>
            <w:pPr>
              <w:pStyle w:val="44"/>
              <w:keepNext/>
              <w:keepLines/>
              <w:pageBreakBefore w:val="0"/>
              <w:bidi w:val="0"/>
              <w:spacing w:beforeLines="0" w:afterLines="0" w:line="240" w:lineRule="auto"/>
              <w:rPr>
                <w:rFonts w:hint="default" w:ascii="宋体" w:hAnsi="宋体" w:eastAsia="宋体" w:cs="宋体"/>
                <w:snapToGrid w:val="0"/>
                <w:color w:val="auto"/>
                <w:kern w:val="21"/>
                <w:sz w:val="21"/>
                <w:szCs w:val="21"/>
                <w:lang w:val="en-US" w:eastAsia="zh-CN"/>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267</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二氧化硫</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038</w:t>
            </w:r>
            <w:r>
              <w:rPr>
                <w:rFonts w:hint="eastAsia" w:ascii="宋体" w:hAnsi="宋体" w:eastAsia="宋体" w:cs="宋体"/>
                <w:color w:val="auto"/>
                <w:sz w:val="21"/>
                <w:szCs w:val="21"/>
                <w:lang w:val="en-US" w:eastAsia="zh-CN"/>
              </w:rPr>
              <w:t>t/a</w:t>
            </w:r>
          </w:p>
        </w:tc>
        <w:tc>
          <w:tcPr>
            <w:tcW w:w="1583"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038</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颗粒物</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115</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115</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restart"/>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r>
              <w:rPr>
                <w:rFonts w:hint="eastAsia" w:ascii="宋体" w:hAnsi="宋体" w:eastAsia="宋体" w:cs="宋体"/>
                <w:snapToGrid w:val="0"/>
                <w:color w:val="auto"/>
                <w:kern w:val="21"/>
                <w:sz w:val="21"/>
                <w:szCs w:val="21"/>
              </w:rPr>
              <w:t>废水</w:t>
            </w: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废水</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bidi="ar-SA"/>
              </w:rPr>
              <w:t>64202.4</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bidi="ar-SA"/>
              </w:rPr>
              <w:t>64202.4</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r>
              <w:rPr>
                <w:rFonts w:hint="eastAsia" w:ascii="宋体" w:hAnsi="宋体" w:eastAsia="宋体" w:cs="宋体"/>
                <w:color w:val="auto"/>
                <w:sz w:val="21"/>
                <w:szCs w:val="21"/>
              </w:rPr>
              <w:t>COD</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28.89</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28.89</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r>
              <w:rPr>
                <w:rFonts w:hint="eastAsia" w:ascii="宋体" w:hAnsi="宋体" w:eastAsia="宋体" w:cs="宋体"/>
                <w:color w:val="auto"/>
                <w:sz w:val="21"/>
                <w:szCs w:val="21"/>
              </w:rPr>
              <w:t>SS</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12.84</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12.84</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r>
              <w:rPr>
                <w:rFonts w:hint="eastAsia" w:ascii="宋体" w:hAnsi="宋体" w:eastAsia="宋体" w:cs="宋体"/>
                <w:color w:val="auto"/>
                <w:sz w:val="21"/>
                <w:szCs w:val="21"/>
              </w:rPr>
              <w:t>NH</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-N</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3.21</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r>
              <w:rPr>
                <w:rFonts w:hint="eastAsia" w:ascii="宋体" w:hAnsi="宋体" w:cs="宋体"/>
                <w:color w:val="auto"/>
                <w:sz w:val="21"/>
                <w:szCs w:val="21"/>
                <w:lang w:val="en-US" w:eastAsia="zh-CN" w:bidi="ar-SA"/>
              </w:rPr>
              <w:t>3.21</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TP</w:t>
            </w:r>
          </w:p>
        </w:tc>
        <w:tc>
          <w:tcPr>
            <w:tcW w:w="1701"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0.321</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bidi w:val="0"/>
              <w:spacing w:beforeLines="0" w:afterLines="0" w:line="240" w:lineRule="auto"/>
              <w:ind w:left="0" w:leftChars="0" w:right="0" w:rightChars="0" w:firstLine="0" w:firstLineChars="0"/>
              <w:jc w:val="center"/>
              <w:rPr>
                <w:rFonts w:hint="eastAsia" w:ascii="宋体" w:hAnsi="宋体" w:eastAsia="宋体" w:cs="宋体"/>
                <w:snapToGrid w:val="0"/>
                <w:color w:val="auto"/>
                <w:kern w:val="21"/>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0.321</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restart"/>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r>
              <w:rPr>
                <w:rFonts w:hint="eastAsia" w:ascii="宋体" w:hAnsi="宋体" w:eastAsia="宋体" w:cs="宋体"/>
                <w:snapToGrid w:val="0"/>
                <w:color w:val="auto"/>
                <w:kern w:val="21"/>
                <w:sz w:val="21"/>
                <w:szCs w:val="21"/>
              </w:rPr>
              <w:t>一般工业</w:t>
            </w:r>
          </w:p>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r>
              <w:rPr>
                <w:rFonts w:hint="eastAsia" w:ascii="宋体" w:hAnsi="宋体" w:eastAsia="宋体" w:cs="宋体"/>
                <w:snapToGrid w:val="0"/>
                <w:color w:val="auto"/>
                <w:kern w:val="21"/>
                <w:sz w:val="21"/>
                <w:szCs w:val="21"/>
              </w:rPr>
              <w:t>固体废物</w:t>
            </w:r>
          </w:p>
        </w:tc>
        <w:tc>
          <w:tcPr>
            <w:tcW w:w="1417" w:type="dxa"/>
            <w:noWrap w:val="0"/>
            <w:vAlign w:val="center"/>
          </w:tcPr>
          <w:p>
            <w:pPr>
              <w:pStyle w:val="49"/>
              <w:keepNext/>
              <w:keepLines/>
              <w:pageBreakBefore w:val="0"/>
              <w:bidi w:val="0"/>
              <w:ind w:left="98" w:leftChars="0" w:right="-59" w:rightChars="0" w:hanging="98" w:hangingChars="47"/>
              <w:jc w:val="center"/>
              <w:rPr>
                <w:rFonts w:hint="eastAsia" w:ascii="宋体" w:hAnsi="宋体" w:eastAsia="宋体" w:cs="宋体"/>
                <w:snapToGrid w:val="0"/>
                <w:color w:val="auto"/>
                <w:kern w:val="21"/>
                <w:sz w:val="21"/>
                <w:szCs w:val="21"/>
              </w:rPr>
            </w:pPr>
            <w:r>
              <w:rPr>
                <w:rFonts w:hint="eastAsia" w:ascii="宋体" w:hAnsi="宋体" w:eastAsia="宋体" w:cs="宋体"/>
                <w:color w:val="auto"/>
                <w:sz w:val="21"/>
                <w:szCs w:val="21"/>
              </w:rPr>
              <w:t>生活垃圾</w:t>
            </w:r>
          </w:p>
        </w:tc>
        <w:tc>
          <w:tcPr>
            <w:tcW w:w="1701"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lang w:val="en-US" w:eastAsia="zh-CN"/>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396</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396</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pStyle w:val="49"/>
              <w:keepNext/>
              <w:keepLines/>
              <w:pageBreakBefore w:val="0"/>
              <w:bidi w:val="0"/>
              <w:ind w:left="98" w:leftChars="0" w:right="-59" w:rightChars="0" w:hanging="98" w:hangingChars="47"/>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实验室废弃外包装</w:t>
            </w:r>
          </w:p>
        </w:tc>
        <w:tc>
          <w:tcPr>
            <w:tcW w:w="1701"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04</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04</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pStyle w:val="49"/>
              <w:keepNext/>
              <w:keepLines/>
              <w:pageBreakBefore w:val="0"/>
              <w:bidi w:val="0"/>
              <w:ind w:left="98" w:leftChars="0" w:right="-59" w:rightChars="0" w:hanging="98" w:hangingChars="47"/>
              <w:jc w:val="center"/>
              <w:rPr>
                <w:rFonts w:hint="eastAsia" w:ascii="宋体" w:hAnsi="宋体" w:eastAsia="宋体" w:cs="宋体"/>
                <w:snapToGrid w:val="0"/>
                <w:color w:val="auto"/>
                <w:kern w:val="21"/>
                <w:sz w:val="21"/>
                <w:szCs w:val="21"/>
              </w:rPr>
            </w:pPr>
            <w:r>
              <w:rPr>
                <w:rFonts w:hint="eastAsia" w:ascii="宋体" w:hAnsi="宋体" w:eastAsia="宋体" w:cs="宋体"/>
                <w:color w:val="auto"/>
                <w:kern w:val="0"/>
                <w:sz w:val="21"/>
                <w:szCs w:val="21"/>
                <w:lang w:val="en-US" w:eastAsia="zh-CN" w:bidi="ar"/>
              </w:rPr>
              <w:t>玻璃片、玻璃器皿、植物碎片</w:t>
            </w:r>
          </w:p>
        </w:tc>
        <w:tc>
          <w:tcPr>
            <w:tcW w:w="1701"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0.0</w:t>
            </w:r>
            <w:r>
              <w:rPr>
                <w:rFonts w:hint="eastAsia" w:ascii="宋体" w:hAnsi="宋体" w:cs="宋体"/>
                <w:color w:val="auto"/>
                <w:sz w:val="21"/>
                <w:szCs w:val="21"/>
                <w:lang w:val="en-US" w:eastAsia="zh-CN"/>
              </w:rPr>
              <w:t>15</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0.0</w:t>
            </w:r>
            <w:r>
              <w:rPr>
                <w:rFonts w:hint="eastAsia" w:ascii="宋体" w:hAnsi="宋体" w:cs="宋体"/>
                <w:color w:val="auto"/>
                <w:sz w:val="21"/>
                <w:szCs w:val="21"/>
                <w:lang w:val="en-US" w:eastAsia="zh-CN"/>
              </w:rPr>
              <w:t>15</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vMerge w:val="continue"/>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17" w:type="dxa"/>
            <w:noWrap w:val="0"/>
            <w:vAlign w:val="center"/>
          </w:tcPr>
          <w:p>
            <w:pPr>
              <w:pStyle w:val="49"/>
              <w:keepNext/>
              <w:keepLines/>
              <w:pageBreakBefore w:val="0"/>
              <w:bidi w:val="0"/>
              <w:ind w:left="98" w:leftChars="0" w:right="-59" w:rightChars="0" w:hanging="98" w:hangingChars="47"/>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离子交换树脂</w:t>
            </w:r>
          </w:p>
        </w:tc>
        <w:tc>
          <w:tcPr>
            <w:tcW w:w="1701"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0.1t/a</w:t>
            </w:r>
          </w:p>
        </w:tc>
        <w:tc>
          <w:tcPr>
            <w:tcW w:w="1583" w:type="dxa"/>
            <w:noWrap w:val="0"/>
            <w:vAlign w:val="center"/>
          </w:tcPr>
          <w:p>
            <w:pPr>
              <w:keepNext/>
              <w:keepLines/>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1"/>
                <w:szCs w:val="21"/>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0.1t/a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8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r>
              <w:rPr>
                <w:rFonts w:hint="eastAsia" w:ascii="宋体" w:hAnsi="宋体" w:eastAsia="宋体" w:cs="宋体"/>
                <w:snapToGrid w:val="0"/>
                <w:color w:val="auto"/>
                <w:kern w:val="21"/>
                <w:sz w:val="21"/>
                <w:szCs w:val="21"/>
              </w:rPr>
              <w:t>危险废物</w:t>
            </w:r>
          </w:p>
        </w:tc>
        <w:tc>
          <w:tcPr>
            <w:tcW w:w="1417" w:type="dxa"/>
            <w:noWrap w:val="0"/>
            <w:vAlign w:val="center"/>
          </w:tcPr>
          <w:p>
            <w:pPr>
              <w:keepNext/>
              <w:keepLines/>
              <w:pageBreakBefore w:val="0"/>
              <w:widowControl/>
              <w:suppressLineNumbers w:val="0"/>
              <w:bidi w:val="0"/>
              <w:jc w:val="center"/>
              <w:rPr>
                <w:rFonts w:hint="eastAsia" w:ascii="宋体" w:hAnsi="宋体" w:eastAsia="宋体" w:cs="宋体"/>
                <w:snapToGrid w:val="0"/>
                <w:color w:val="auto"/>
                <w:kern w:val="21"/>
                <w:sz w:val="21"/>
                <w:szCs w:val="21"/>
              </w:rPr>
            </w:pPr>
            <w:r>
              <w:rPr>
                <w:rFonts w:hint="eastAsia" w:ascii="宋体" w:hAnsi="宋体" w:eastAsia="宋体" w:cs="宋体"/>
                <w:color w:val="auto"/>
                <w:kern w:val="0"/>
                <w:sz w:val="21"/>
                <w:szCs w:val="21"/>
                <w:lang w:val="en-US" w:eastAsia="zh-CN" w:bidi="ar"/>
              </w:rPr>
              <w:t>酸碱废液及废试剂瓶</w:t>
            </w:r>
          </w:p>
        </w:tc>
        <w:tc>
          <w:tcPr>
            <w:tcW w:w="1701"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21"/>
                <w:sz w:val="21"/>
                <w:szCs w:val="21"/>
              </w:rPr>
            </w:pPr>
          </w:p>
        </w:tc>
        <w:tc>
          <w:tcPr>
            <w:tcW w:w="1276"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428"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rPr>
            </w:pPr>
          </w:p>
        </w:tc>
        <w:tc>
          <w:tcPr>
            <w:tcW w:w="150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03</w:t>
            </w:r>
            <w:r>
              <w:rPr>
                <w:rFonts w:hint="eastAsia" w:ascii="宋体" w:hAnsi="宋体" w:eastAsia="宋体" w:cs="宋体"/>
                <w:color w:val="auto"/>
                <w:sz w:val="21"/>
                <w:szCs w:val="21"/>
                <w:lang w:val="en-US" w:eastAsia="zh-CN"/>
              </w:rPr>
              <w:t>t/a</w:t>
            </w:r>
          </w:p>
        </w:tc>
        <w:tc>
          <w:tcPr>
            <w:tcW w:w="1583" w:type="dxa"/>
            <w:noWrap w:val="0"/>
            <w:vAlign w:val="center"/>
          </w:tcPr>
          <w:p>
            <w:pPr>
              <w:keepNext/>
              <w:keepLines/>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1"/>
                <w:szCs w:val="21"/>
                <w:lang w:val="en-US"/>
              </w:rPr>
            </w:pPr>
          </w:p>
        </w:tc>
        <w:tc>
          <w:tcPr>
            <w:tcW w:w="1950" w:type="dxa"/>
            <w:noWrap w:val="0"/>
            <w:vAlign w:val="center"/>
          </w:tcPr>
          <w:p>
            <w:pPr>
              <w:keepNext/>
              <w:keepLines/>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0.</w:t>
            </w:r>
            <w:r>
              <w:rPr>
                <w:rFonts w:hint="eastAsia" w:ascii="宋体" w:hAnsi="宋体" w:cs="宋体"/>
                <w:color w:val="auto"/>
                <w:sz w:val="21"/>
                <w:szCs w:val="21"/>
                <w:lang w:val="en-US" w:eastAsia="zh-CN"/>
              </w:rPr>
              <w:t>03</w:t>
            </w:r>
            <w:r>
              <w:rPr>
                <w:rFonts w:hint="eastAsia" w:ascii="宋体" w:hAnsi="宋体" w:eastAsia="宋体" w:cs="宋体"/>
                <w:color w:val="auto"/>
                <w:sz w:val="21"/>
                <w:szCs w:val="21"/>
                <w:lang w:val="en-US" w:eastAsia="zh-CN"/>
              </w:rPr>
              <w:t>t/a</w:t>
            </w:r>
          </w:p>
        </w:tc>
        <w:tc>
          <w:tcPr>
            <w:tcW w:w="1345" w:type="dxa"/>
            <w:noWrap w:val="0"/>
            <w:vAlign w:val="center"/>
          </w:tcPr>
          <w:p>
            <w:pPr>
              <w:pStyle w:val="44"/>
              <w:keepNext/>
              <w:keepLines/>
              <w:pageBreakBefore w:val="0"/>
              <w:bidi w:val="0"/>
              <w:spacing w:beforeLines="0" w:afterLines="0" w:line="240" w:lineRule="auto"/>
              <w:rPr>
                <w:rFonts w:hint="eastAsia" w:ascii="宋体" w:hAnsi="宋体" w:eastAsia="宋体" w:cs="宋体"/>
                <w:snapToGrid w:val="0"/>
                <w:color w:val="auto"/>
                <w:kern w:val="21"/>
                <w:sz w:val="21"/>
                <w:szCs w:val="21"/>
                <w:lang w:val="en-US" w:eastAsia="zh-CN"/>
              </w:rPr>
            </w:pPr>
          </w:p>
        </w:tc>
      </w:tr>
    </w:tbl>
    <w:p>
      <w:pPr>
        <w:pStyle w:val="44"/>
        <w:keepNext/>
        <w:keepLines/>
        <w:pageBreakBefore w:val="0"/>
        <w:bidi w:val="0"/>
        <w:spacing w:before="192" w:beforeLines="80" w:after="24"/>
        <w:jc w:val="left"/>
        <w:rPr>
          <w:rFonts w:hint="eastAsia" w:eastAsia="宋体"/>
          <w:color w:val="auto"/>
          <w:lang w:val="en-US" w:eastAsia="zh-CN"/>
        </w:rPr>
        <w:sectPr>
          <w:footerReference r:id="rId6" w:type="default"/>
          <w:pgSz w:w="16838" w:h="11906" w:orient="landscape"/>
          <w:pgMar w:top="1701" w:right="1531" w:bottom="1701" w:left="1531" w:header="851" w:footer="851" w:gutter="0"/>
          <w:pgBorders>
            <w:top w:val="none" w:sz="0" w:space="0"/>
            <w:left w:val="none" w:sz="0" w:space="0"/>
            <w:bottom w:val="none" w:sz="0" w:space="0"/>
            <w:right w:val="none" w:sz="0" w:space="0"/>
          </w:pgBorders>
          <w:pgNumType w:fmt="decimal"/>
          <w:cols w:space="720" w:num="1"/>
          <w:docGrid w:linePitch="312" w:charSpace="0"/>
        </w:sectPr>
      </w:pPr>
      <w:r>
        <w:rPr>
          <w:rFonts w:hint="eastAsia"/>
          <w:color w:val="auto"/>
          <w:lang w:val="en-US" w:eastAsia="zh-CN"/>
        </w:rPr>
        <w:t xml:space="preserve"> </w:t>
      </w:r>
    </w:p>
    <w:p>
      <w:pPr>
        <w:keepNext/>
        <w:keepLines/>
        <w:pageBreakBefore w:val="0"/>
        <w:bidi w:val="0"/>
        <w:rPr>
          <w:rFonts w:ascii="宋体" w:hAnsi="宋体" w:eastAsia="黑体"/>
          <w:color w:val="auto"/>
        </w:rPr>
      </w:pPr>
    </w:p>
    <w:p>
      <w:pPr>
        <w:pStyle w:val="4"/>
        <w:keepNext/>
        <w:keepLines/>
        <w:pageBreakBefore w:val="0"/>
        <w:bidi w:val="0"/>
        <w:rPr>
          <w:color w:val="auto"/>
        </w:rPr>
      </w:pPr>
    </w:p>
    <w:sectPr>
      <w:footerReference r:id="rId7"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59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6FCAC"/>
    <w:multiLevelType w:val="singleLevel"/>
    <w:tmpl w:val="CF66FCA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oNotHyphenateCaps/>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iZmY2ZjgwMTQ4NzBlMmE2MjAwNzBlYzkxN2RlMDQifQ=="/>
    <w:docVar w:name="KSO_WPS_MARK_KEY" w:val="ed91d258-ff68-45d7-8257-b58c62019588"/>
  </w:docVars>
  <w:rsids>
    <w:rsidRoot w:val="00172A27"/>
    <w:rsid w:val="000060B3"/>
    <w:rsid w:val="0004364B"/>
    <w:rsid w:val="00061B1F"/>
    <w:rsid w:val="000733C4"/>
    <w:rsid w:val="00074783"/>
    <w:rsid w:val="0008070B"/>
    <w:rsid w:val="000810AC"/>
    <w:rsid w:val="00081A02"/>
    <w:rsid w:val="00082231"/>
    <w:rsid w:val="00092D38"/>
    <w:rsid w:val="0009377B"/>
    <w:rsid w:val="000A20C9"/>
    <w:rsid w:val="000B058F"/>
    <w:rsid w:val="000B4467"/>
    <w:rsid w:val="000B4DB9"/>
    <w:rsid w:val="000C09AC"/>
    <w:rsid w:val="000C767F"/>
    <w:rsid w:val="000D5A44"/>
    <w:rsid w:val="000E3ED2"/>
    <w:rsid w:val="00131F42"/>
    <w:rsid w:val="001357F1"/>
    <w:rsid w:val="00140FA8"/>
    <w:rsid w:val="00142FEB"/>
    <w:rsid w:val="00143A2D"/>
    <w:rsid w:val="00145A41"/>
    <w:rsid w:val="00151675"/>
    <w:rsid w:val="00157435"/>
    <w:rsid w:val="0017504D"/>
    <w:rsid w:val="0017671A"/>
    <w:rsid w:val="00177422"/>
    <w:rsid w:val="00184590"/>
    <w:rsid w:val="001870D1"/>
    <w:rsid w:val="0018781E"/>
    <w:rsid w:val="0019262D"/>
    <w:rsid w:val="001A1B35"/>
    <w:rsid w:val="001A48A2"/>
    <w:rsid w:val="001A6F61"/>
    <w:rsid w:val="001B72B8"/>
    <w:rsid w:val="001C69B3"/>
    <w:rsid w:val="001D5595"/>
    <w:rsid w:val="001D7874"/>
    <w:rsid w:val="001D7F22"/>
    <w:rsid w:val="001F0F17"/>
    <w:rsid w:val="001F3347"/>
    <w:rsid w:val="001F69E4"/>
    <w:rsid w:val="002125B4"/>
    <w:rsid w:val="002155B8"/>
    <w:rsid w:val="00224839"/>
    <w:rsid w:val="002249B2"/>
    <w:rsid w:val="00226574"/>
    <w:rsid w:val="002278EC"/>
    <w:rsid w:val="0023280E"/>
    <w:rsid w:val="002377D1"/>
    <w:rsid w:val="002506BC"/>
    <w:rsid w:val="00254345"/>
    <w:rsid w:val="00264557"/>
    <w:rsid w:val="002805AB"/>
    <w:rsid w:val="00284204"/>
    <w:rsid w:val="00291773"/>
    <w:rsid w:val="002A168C"/>
    <w:rsid w:val="002A3DC7"/>
    <w:rsid w:val="002B49E2"/>
    <w:rsid w:val="002B7B00"/>
    <w:rsid w:val="002B7C44"/>
    <w:rsid w:val="002C2B17"/>
    <w:rsid w:val="002D3DD0"/>
    <w:rsid w:val="002E1F3A"/>
    <w:rsid w:val="002E298A"/>
    <w:rsid w:val="00301978"/>
    <w:rsid w:val="0030332C"/>
    <w:rsid w:val="003051C2"/>
    <w:rsid w:val="00312296"/>
    <w:rsid w:val="00314F0E"/>
    <w:rsid w:val="00321D8E"/>
    <w:rsid w:val="00325928"/>
    <w:rsid w:val="00332863"/>
    <w:rsid w:val="0033684D"/>
    <w:rsid w:val="00337B42"/>
    <w:rsid w:val="00341B42"/>
    <w:rsid w:val="0034348F"/>
    <w:rsid w:val="00356653"/>
    <w:rsid w:val="0035743F"/>
    <w:rsid w:val="00357BE2"/>
    <w:rsid w:val="0036170C"/>
    <w:rsid w:val="00366E0F"/>
    <w:rsid w:val="00381A72"/>
    <w:rsid w:val="00384676"/>
    <w:rsid w:val="00390857"/>
    <w:rsid w:val="003A4BF3"/>
    <w:rsid w:val="003B420D"/>
    <w:rsid w:val="003C6C16"/>
    <w:rsid w:val="003D794D"/>
    <w:rsid w:val="003E3058"/>
    <w:rsid w:val="003E76A9"/>
    <w:rsid w:val="003F0809"/>
    <w:rsid w:val="003F6A8C"/>
    <w:rsid w:val="003F755C"/>
    <w:rsid w:val="00406F01"/>
    <w:rsid w:val="00416D50"/>
    <w:rsid w:val="00416FD5"/>
    <w:rsid w:val="00417772"/>
    <w:rsid w:val="00420E6A"/>
    <w:rsid w:val="00425A9E"/>
    <w:rsid w:val="00426D6B"/>
    <w:rsid w:val="00431E6C"/>
    <w:rsid w:val="00433CE7"/>
    <w:rsid w:val="00452738"/>
    <w:rsid w:val="00456091"/>
    <w:rsid w:val="00466321"/>
    <w:rsid w:val="00484B9B"/>
    <w:rsid w:val="004855F6"/>
    <w:rsid w:val="0048661E"/>
    <w:rsid w:val="00494670"/>
    <w:rsid w:val="004A3823"/>
    <w:rsid w:val="004E6946"/>
    <w:rsid w:val="004F1AD8"/>
    <w:rsid w:val="005039CB"/>
    <w:rsid w:val="0050558F"/>
    <w:rsid w:val="00506286"/>
    <w:rsid w:val="00510813"/>
    <w:rsid w:val="00511990"/>
    <w:rsid w:val="00511DE0"/>
    <w:rsid w:val="00514870"/>
    <w:rsid w:val="00514B9B"/>
    <w:rsid w:val="00517F02"/>
    <w:rsid w:val="00524303"/>
    <w:rsid w:val="005258A2"/>
    <w:rsid w:val="005401AE"/>
    <w:rsid w:val="00542E07"/>
    <w:rsid w:val="00545424"/>
    <w:rsid w:val="00554A7B"/>
    <w:rsid w:val="0055572C"/>
    <w:rsid w:val="0056106A"/>
    <w:rsid w:val="005720AE"/>
    <w:rsid w:val="00594D77"/>
    <w:rsid w:val="005969E4"/>
    <w:rsid w:val="005A06B7"/>
    <w:rsid w:val="005A1759"/>
    <w:rsid w:val="005A68A7"/>
    <w:rsid w:val="005D36AB"/>
    <w:rsid w:val="00617CC3"/>
    <w:rsid w:val="006377A6"/>
    <w:rsid w:val="00637A3D"/>
    <w:rsid w:val="006411EF"/>
    <w:rsid w:val="006748B8"/>
    <w:rsid w:val="006775C3"/>
    <w:rsid w:val="0069290A"/>
    <w:rsid w:val="0069775A"/>
    <w:rsid w:val="00697813"/>
    <w:rsid w:val="006A3EE8"/>
    <w:rsid w:val="006A72BF"/>
    <w:rsid w:val="006B03F2"/>
    <w:rsid w:val="006B37DC"/>
    <w:rsid w:val="006B4F68"/>
    <w:rsid w:val="006C0592"/>
    <w:rsid w:val="006C272E"/>
    <w:rsid w:val="006C5479"/>
    <w:rsid w:val="006D13B5"/>
    <w:rsid w:val="006E12FF"/>
    <w:rsid w:val="006E607E"/>
    <w:rsid w:val="00706C5D"/>
    <w:rsid w:val="00732922"/>
    <w:rsid w:val="0075162E"/>
    <w:rsid w:val="00754034"/>
    <w:rsid w:val="00756556"/>
    <w:rsid w:val="007618C4"/>
    <w:rsid w:val="00767980"/>
    <w:rsid w:val="00770B19"/>
    <w:rsid w:val="0077463F"/>
    <w:rsid w:val="007836EA"/>
    <w:rsid w:val="00784CDA"/>
    <w:rsid w:val="007906C4"/>
    <w:rsid w:val="007940EA"/>
    <w:rsid w:val="007967E8"/>
    <w:rsid w:val="007A2170"/>
    <w:rsid w:val="007A22BF"/>
    <w:rsid w:val="007A3323"/>
    <w:rsid w:val="007B72B8"/>
    <w:rsid w:val="007B7A58"/>
    <w:rsid w:val="007C21B5"/>
    <w:rsid w:val="007E4BD2"/>
    <w:rsid w:val="00801393"/>
    <w:rsid w:val="00802F88"/>
    <w:rsid w:val="0081293E"/>
    <w:rsid w:val="00815465"/>
    <w:rsid w:val="00817E9A"/>
    <w:rsid w:val="008306BD"/>
    <w:rsid w:val="00831A80"/>
    <w:rsid w:val="00833743"/>
    <w:rsid w:val="008340A4"/>
    <w:rsid w:val="0087135F"/>
    <w:rsid w:val="00872D94"/>
    <w:rsid w:val="00880364"/>
    <w:rsid w:val="00891592"/>
    <w:rsid w:val="00891E9E"/>
    <w:rsid w:val="008A2F68"/>
    <w:rsid w:val="008B4FA6"/>
    <w:rsid w:val="008B5282"/>
    <w:rsid w:val="008B7C17"/>
    <w:rsid w:val="008C2D01"/>
    <w:rsid w:val="008C40E6"/>
    <w:rsid w:val="008D0F7A"/>
    <w:rsid w:val="008D68E4"/>
    <w:rsid w:val="008E0506"/>
    <w:rsid w:val="008E0CFF"/>
    <w:rsid w:val="008E5D6B"/>
    <w:rsid w:val="008E76F0"/>
    <w:rsid w:val="008F15FE"/>
    <w:rsid w:val="008F2D29"/>
    <w:rsid w:val="008F5187"/>
    <w:rsid w:val="008F60D8"/>
    <w:rsid w:val="00902727"/>
    <w:rsid w:val="0090312B"/>
    <w:rsid w:val="0091736D"/>
    <w:rsid w:val="0093037A"/>
    <w:rsid w:val="0094154D"/>
    <w:rsid w:val="0095155F"/>
    <w:rsid w:val="00954429"/>
    <w:rsid w:val="009563CE"/>
    <w:rsid w:val="00976328"/>
    <w:rsid w:val="0097680D"/>
    <w:rsid w:val="00982438"/>
    <w:rsid w:val="0098404C"/>
    <w:rsid w:val="00985283"/>
    <w:rsid w:val="00995992"/>
    <w:rsid w:val="009A03E5"/>
    <w:rsid w:val="009A0F3B"/>
    <w:rsid w:val="009A1BB4"/>
    <w:rsid w:val="009A2628"/>
    <w:rsid w:val="009A3200"/>
    <w:rsid w:val="009B0897"/>
    <w:rsid w:val="009B7BD9"/>
    <w:rsid w:val="009C7DD5"/>
    <w:rsid w:val="009E227D"/>
    <w:rsid w:val="009E5019"/>
    <w:rsid w:val="00A04F1B"/>
    <w:rsid w:val="00A0501B"/>
    <w:rsid w:val="00A14947"/>
    <w:rsid w:val="00A32A83"/>
    <w:rsid w:val="00A368DB"/>
    <w:rsid w:val="00A423AA"/>
    <w:rsid w:val="00A53EC6"/>
    <w:rsid w:val="00A55C0F"/>
    <w:rsid w:val="00A8713F"/>
    <w:rsid w:val="00A90BA1"/>
    <w:rsid w:val="00A97A9A"/>
    <w:rsid w:val="00AA0671"/>
    <w:rsid w:val="00AA2531"/>
    <w:rsid w:val="00AB1E09"/>
    <w:rsid w:val="00AB5330"/>
    <w:rsid w:val="00AB7747"/>
    <w:rsid w:val="00AC14CE"/>
    <w:rsid w:val="00AC2A56"/>
    <w:rsid w:val="00AD055E"/>
    <w:rsid w:val="00AD47A7"/>
    <w:rsid w:val="00AF0CBF"/>
    <w:rsid w:val="00AF257F"/>
    <w:rsid w:val="00AF33CF"/>
    <w:rsid w:val="00AF4D50"/>
    <w:rsid w:val="00AF6179"/>
    <w:rsid w:val="00B1295A"/>
    <w:rsid w:val="00B20A45"/>
    <w:rsid w:val="00B22C5C"/>
    <w:rsid w:val="00B24F30"/>
    <w:rsid w:val="00B31ABF"/>
    <w:rsid w:val="00B33BE3"/>
    <w:rsid w:val="00B53B5D"/>
    <w:rsid w:val="00B6055E"/>
    <w:rsid w:val="00B6317D"/>
    <w:rsid w:val="00B7723F"/>
    <w:rsid w:val="00B80534"/>
    <w:rsid w:val="00B8433C"/>
    <w:rsid w:val="00B87491"/>
    <w:rsid w:val="00BA29E9"/>
    <w:rsid w:val="00BA7142"/>
    <w:rsid w:val="00BB237C"/>
    <w:rsid w:val="00BB41A3"/>
    <w:rsid w:val="00BC32DC"/>
    <w:rsid w:val="00BC35B6"/>
    <w:rsid w:val="00BD1B51"/>
    <w:rsid w:val="00BD4596"/>
    <w:rsid w:val="00BE1405"/>
    <w:rsid w:val="00BE312D"/>
    <w:rsid w:val="00BF1C20"/>
    <w:rsid w:val="00C10578"/>
    <w:rsid w:val="00C135BC"/>
    <w:rsid w:val="00C15C95"/>
    <w:rsid w:val="00C2596A"/>
    <w:rsid w:val="00C27537"/>
    <w:rsid w:val="00C328FE"/>
    <w:rsid w:val="00C33507"/>
    <w:rsid w:val="00C4409D"/>
    <w:rsid w:val="00C44E72"/>
    <w:rsid w:val="00C45A06"/>
    <w:rsid w:val="00C47E5B"/>
    <w:rsid w:val="00C61E4B"/>
    <w:rsid w:val="00C64BFF"/>
    <w:rsid w:val="00C704E9"/>
    <w:rsid w:val="00C763C9"/>
    <w:rsid w:val="00C80057"/>
    <w:rsid w:val="00C82232"/>
    <w:rsid w:val="00C82913"/>
    <w:rsid w:val="00C972B1"/>
    <w:rsid w:val="00CA2CCE"/>
    <w:rsid w:val="00CA43FD"/>
    <w:rsid w:val="00CA7EF8"/>
    <w:rsid w:val="00CC489B"/>
    <w:rsid w:val="00CD2BCD"/>
    <w:rsid w:val="00CD3A4C"/>
    <w:rsid w:val="00CE10E9"/>
    <w:rsid w:val="00CE2910"/>
    <w:rsid w:val="00CE5393"/>
    <w:rsid w:val="00CF36BE"/>
    <w:rsid w:val="00CF6000"/>
    <w:rsid w:val="00D003F3"/>
    <w:rsid w:val="00D0364F"/>
    <w:rsid w:val="00D06834"/>
    <w:rsid w:val="00D308ED"/>
    <w:rsid w:val="00D36D86"/>
    <w:rsid w:val="00D428AA"/>
    <w:rsid w:val="00D50A34"/>
    <w:rsid w:val="00D53EFA"/>
    <w:rsid w:val="00D94A7C"/>
    <w:rsid w:val="00D95896"/>
    <w:rsid w:val="00DB2983"/>
    <w:rsid w:val="00DC1257"/>
    <w:rsid w:val="00DC3DC0"/>
    <w:rsid w:val="00DC5B2B"/>
    <w:rsid w:val="00DD318D"/>
    <w:rsid w:val="00DF2E12"/>
    <w:rsid w:val="00DF514A"/>
    <w:rsid w:val="00DF6690"/>
    <w:rsid w:val="00DF6804"/>
    <w:rsid w:val="00E0358D"/>
    <w:rsid w:val="00E04323"/>
    <w:rsid w:val="00E070A2"/>
    <w:rsid w:val="00E2656A"/>
    <w:rsid w:val="00E412D0"/>
    <w:rsid w:val="00E56322"/>
    <w:rsid w:val="00E60982"/>
    <w:rsid w:val="00E62C62"/>
    <w:rsid w:val="00E654C1"/>
    <w:rsid w:val="00E65D97"/>
    <w:rsid w:val="00E72A5A"/>
    <w:rsid w:val="00E73354"/>
    <w:rsid w:val="00E9242D"/>
    <w:rsid w:val="00EB5255"/>
    <w:rsid w:val="00EB5C47"/>
    <w:rsid w:val="00ED0639"/>
    <w:rsid w:val="00EF4755"/>
    <w:rsid w:val="00EF7135"/>
    <w:rsid w:val="00F027DB"/>
    <w:rsid w:val="00F14A7A"/>
    <w:rsid w:val="00F22985"/>
    <w:rsid w:val="00F3383E"/>
    <w:rsid w:val="00F465A7"/>
    <w:rsid w:val="00F50B7C"/>
    <w:rsid w:val="00F550E6"/>
    <w:rsid w:val="00F74345"/>
    <w:rsid w:val="00F80A0A"/>
    <w:rsid w:val="00F82B19"/>
    <w:rsid w:val="00F9212D"/>
    <w:rsid w:val="00F965DA"/>
    <w:rsid w:val="00FA406A"/>
    <w:rsid w:val="00FB503A"/>
    <w:rsid w:val="00FB516C"/>
    <w:rsid w:val="00FD0236"/>
    <w:rsid w:val="00FD18F4"/>
    <w:rsid w:val="00FD54DB"/>
    <w:rsid w:val="00FD619F"/>
    <w:rsid w:val="01210FAF"/>
    <w:rsid w:val="01290F7E"/>
    <w:rsid w:val="015D1E09"/>
    <w:rsid w:val="02377801"/>
    <w:rsid w:val="02697903"/>
    <w:rsid w:val="02F96569"/>
    <w:rsid w:val="032E629B"/>
    <w:rsid w:val="03983C42"/>
    <w:rsid w:val="03EA7B21"/>
    <w:rsid w:val="05091855"/>
    <w:rsid w:val="05F83EAE"/>
    <w:rsid w:val="063E7D85"/>
    <w:rsid w:val="06634DEE"/>
    <w:rsid w:val="07293586"/>
    <w:rsid w:val="07295285"/>
    <w:rsid w:val="07636392"/>
    <w:rsid w:val="07770C56"/>
    <w:rsid w:val="08E53FB5"/>
    <w:rsid w:val="092217DD"/>
    <w:rsid w:val="093A7294"/>
    <w:rsid w:val="0946380D"/>
    <w:rsid w:val="09954E0D"/>
    <w:rsid w:val="09DE7EAE"/>
    <w:rsid w:val="0A263993"/>
    <w:rsid w:val="0A2D3AC2"/>
    <w:rsid w:val="0A88123C"/>
    <w:rsid w:val="0AA755DF"/>
    <w:rsid w:val="0B120D44"/>
    <w:rsid w:val="0B9545DA"/>
    <w:rsid w:val="0BD27BF6"/>
    <w:rsid w:val="0C3B3C7D"/>
    <w:rsid w:val="0CAB2EAE"/>
    <w:rsid w:val="0D48114E"/>
    <w:rsid w:val="0D621C7D"/>
    <w:rsid w:val="0DBD5F34"/>
    <w:rsid w:val="0E73034D"/>
    <w:rsid w:val="0E7F1DC3"/>
    <w:rsid w:val="0F13775A"/>
    <w:rsid w:val="0F4E5B5A"/>
    <w:rsid w:val="0F5F45FE"/>
    <w:rsid w:val="0F9A112B"/>
    <w:rsid w:val="106D2F64"/>
    <w:rsid w:val="10B63710"/>
    <w:rsid w:val="10F10820"/>
    <w:rsid w:val="111C2F7A"/>
    <w:rsid w:val="11665CA1"/>
    <w:rsid w:val="135D4689"/>
    <w:rsid w:val="13951726"/>
    <w:rsid w:val="14396509"/>
    <w:rsid w:val="14DD2C3C"/>
    <w:rsid w:val="1526747B"/>
    <w:rsid w:val="153100E0"/>
    <w:rsid w:val="16087E1D"/>
    <w:rsid w:val="166734D9"/>
    <w:rsid w:val="17473A97"/>
    <w:rsid w:val="17701D14"/>
    <w:rsid w:val="17735226"/>
    <w:rsid w:val="189F624C"/>
    <w:rsid w:val="19946958"/>
    <w:rsid w:val="19F27D59"/>
    <w:rsid w:val="1A1C66C0"/>
    <w:rsid w:val="1A42393B"/>
    <w:rsid w:val="1AAD45DE"/>
    <w:rsid w:val="1B046F80"/>
    <w:rsid w:val="1B3267B5"/>
    <w:rsid w:val="1B40161D"/>
    <w:rsid w:val="1B441859"/>
    <w:rsid w:val="1B6606B1"/>
    <w:rsid w:val="1BAD57EB"/>
    <w:rsid w:val="1C5E7925"/>
    <w:rsid w:val="1CD46E4D"/>
    <w:rsid w:val="1CDF6C48"/>
    <w:rsid w:val="1CFD070F"/>
    <w:rsid w:val="1D17159E"/>
    <w:rsid w:val="1D220403"/>
    <w:rsid w:val="1D5F6196"/>
    <w:rsid w:val="1D6132A5"/>
    <w:rsid w:val="1D8E56D5"/>
    <w:rsid w:val="1DA31E2A"/>
    <w:rsid w:val="1E23578C"/>
    <w:rsid w:val="1E7A43DA"/>
    <w:rsid w:val="1E905145"/>
    <w:rsid w:val="1E9D02FF"/>
    <w:rsid w:val="1ECF523E"/>
    <w:rsid w:val="1F6D3219"/>
    <w:rsid w:val="1FE7539E"/>
    <w:rsid w:val="20671BE0"/>
    <w:rsid w:val="20963CB8"/>
    <w:rsid w:val="20A81A1B"/>
    <w:rsid w:val="20B07FB6"/>
    <w:rsid w:val="20B646FB"/>
    <w:rsid w:val="213B74B1"/>
    <w:rsid w:val="215A2310"/>
    <w:rsid w:val="218A4B26"/>
    <w:rsid w:val="21DE318A"/>
    <w:rsid w:val="21EF5B80"/>
    <w:rsid w:val="22576990"/>
    <w:rsid w:val="22715CE6"/>
    <w:rsid w:val="2283348D"/>
    <w:rsid w:val="22F47480"/>
    <w:rsid w:val="23B04E68"/>
    <w:rsid w:val="23DE1C48"/>
    <w:rsid w:val="240210CD"/>
    <w:rsid w:val="24912992"/>
    <w:rsid w:val="249C104C"/>
    <w:rsid w:val="24BF09F7"/>
    <w:rsid w:val="25043D46"/>
    <w:rsid w:val="252D53FE"/>
    <w:rsid w:val="25B22C22"/>
    <w:rsid w:val="25BE2FD1"/>
    <w:rsid w:val="25EC2D81"/>
    <w:rsid w:val="27124F6E"/>
    <w:rsid w:val="277057A2"/>
    <w:rsid w:val="27F36426"/>
    <w:rsid w:val="29206EB8"/>
    <w:rsid w:val="294925BC"/>
    <w:rsid w:val="29595666"/>
    <w:rsid w:val="29740ADE"/>
    <w:rsid w:val="29874881"/>
    <w:rsid w:val="29E325E0"/>
    <w:rsid w:val="2A452503"/>
    <w:rsid w:val="2A6A47BB"/>
    <w:rsid w:val="2A8B5249"/>
    <w:rsid w:val="2BA936A8"/>
    <w:rsid w:val="2C315A5A"/>
    <w:rsid w:val="2C4B1C25"/>
    <w:rsid w:val="2D9E56F5"/>
    <w:rsid w:val="2E667F96"/>
    <w:rsid w:val="2E8226AB"/>
    <w:rsid w:val="2EC41466"/>
    <w:rsid w:val="2ECF5CD8"/>
    <w:rsid w:val="2FD065E6"/>
    <w:rsid w:val="2FD96870"/>
    <w:rsid w:val="2FF2154C"/>
    <w:rsid w:val="30580BC9"/>
    <w:rsid w:val="30C35F0F"/>
    <w:rsid w:val="311E2ED7"/>
    <w:rsid w:val="315619EE"/>
    <w:rsid w:val="315C449C"/>
    <w:rsid w:val="31B82709"/>
    <w:rsid w:val="31D05482"/>
    <w:rsid w:val="32400B34"/>
    <w:rsid w:val="329E6876"/>
    <w:rsid w:val="333015F2"/>
    <w:rsid w:val="334B6320"/>
    <w:rsid w:val="33D934D4"/>
    <w:rsid w:val="33FE2F6A"/>
    <w:rsid w:val="340D7591"/>
    <w:rsid w:val="340E07E5"/>
    <w:rsid w:val="34235BF7"/>
    <w:rsid w:val="34DF3E5B"/>
    <w:rsid w:val="358C5FA8"/>
    <w:rsid w:val="35C15DF1"/>
    <w:rsid w:val="36074A7F"/>
    <w:rsid w:val="36923549"/>
    <w:rsid w:val="36B75FBF"/>
    <w:rsid w:val="36BD0C45"/>
    <w:rsid w:val="37E00298"/>
    <w:rsid w:val="38520286"/>
    <w:rsid w:val="38A26A7B"/>
    <w:rsid w:val="38AB3F2E"/>
    <w:rsid w:val="38B302F9"/>
    <w:rsid w:val="38F12CD3"/>
    <w:rsid w:val="38F94775"/>
    <w:rsid w:val="392971ED"/>
    <w:rsid w:val="39325651"/>
    <w:rsid w:val="39557F91"/>
    <w:rsid w:val="39907023"/>
    <w:rsid w:val="3A872856"/>
    <w:rsid w:val="3AEB2E69"/>
    <w:rsid w:val="3B3763D1"/>
    <w:rsid w:val="3C2F6E1E"/>
    <w:rsid w:val="3C4F64BA"/>
    <w:rsid w:val="3CDA245A"/>
    <w:rsid w:val="3D1E06B7"/>
    <w:rsid w:val="3DFB03D8"/>
    <w:rsid w:val="3E0E1EA7"/>
    <w:rsid w:val="3E2148E6"/>
    <w:rsid w:val="3EDA0523"/>
    <w:rsid w:val="3F0905C8"/>
    <w:rsid w:val="407A6407"/>
    <w:rsid w:val="414F3518"/>
    <w:rsid w:val="41B113E6"/>
    <w:rsid w:val="4200449D"/>
    <w:rsid w:val="42011095"/>
    <w:rsid w:val="423A3BCC"/>
    <w:rsid w:val="424E57D2"/>
    <w:rsid w:val="42B26C49"/>
    <w:rsid w:val="433A6FE6"/>
    <w:rsid w:val="43480868"/>
    <w:rsid w:val="4350713C"/>
    <w:rsid w:val="43547D0F"/>
    <w:rsid w:val="436653E0"/>
    <w:rsid w:val="43736C10"/>
    <w:rsid w:val="43C4431A"/>
    <w:rsid w:val="444857BA"/>
    <w:rsid w:val="447A4A8B"/>
    <w:rsid w:val="44B951CC"/>
    <w:rsid w:val="44CD14E0"/>
    <w:rsid w:val="44F20B0B"/>
    <w:rsid w:val="452E5F4C"/>
    <w:rsid w:val="45612018"/>
    <w:rsid w:val="458946E9"/>
    <w:rsid w:val="45A47C0E"/>
    <w:rsid w:val="46577FD6"/>
    <w:rsid w:val="46D955A7"/>
    <w:rsid w:val="47133957"/>
    <w:rsid w:val="47A07E0C"/>
    <w:rsid w:val="4870272E"/>
    <w:rsid w:val="493C7D83"/>
    <w:rsid w:val="49DC7715"/>
    <w:rsid w:val="4A023139"/>
    <w:rsid w:val="4A506DB3"/>
    <w:rsid w:val="4A7B576F"/>
    <w:rsid w:val="4AF561A9"/>
    <w:rsid w:val="4B1A6514"/>
    <w:rsid w:val="4BF7028D"/>
    <w:rsid w:val="4C4A0649"/>
    <w:rsid w:val="4C7E5ECA"/>
    <w:rsid w:val="4C876AA5"/>
    <w:rsid w:val="4CBB5F06"/>
    <w:rsid w:val="4D0041BE"/>
    <w:rsid w:val="4D0E00FB"/>
    <w:rsid w:val="4D176606"/>
    <w:rsid w:val="4DEC4FB0"/>
    <w:rsid w:val="4E075D8A"/>
    <w:rsid w:val="4E5942DC"/>
    <w:rsid w:val="4EA2737D"/>
    <w:rsid w:val="4EA72798"/>
    <w:rsid w:val="4EC00FAD"/>
    <w:rsid w:val="4F9843DC"/>
    <w:rsid w:val="4FC62A8C"/>
    <w:rsid w:val="4FD6332E"/>
    <w:rsid w:val="4FE20F0D"/>
    <w:rsid w:val="4FE51552"/>
    <w:rsid w:val="50504C4B"/>
    <w:rsid w:val="509C6E7C"/>
    <w:rsid w:val="5162104E"/>
    <w:rsid w:val="51CC64BF"/>
    <w:rsid w:val="52854FEC"/>
    <w:rsid w:val="52D868E5"/>
    <w:rsid w:val="53821D77"/>
    <w:rsid w:val="53A039CC"/>
    <w:rsid w:val="53A1505A"/>
    <w:rsid w:val="54063E08"/>
    <w:rsid w:val="543437E8"/>
    <w:rsid w:val="545729C5"/>
    <w:rsid w:val="54F73313"/>
    <w:rsid w:val="54F80955"/>
    <w:rsid w:val="555170A7"/>
    <w:rsid w:val="5587536D"/>
    <w:rsid w:val="559B174B"/>
    <w:rsid w:val="55C759BD"/>
    <w:rsid w:val="55CE0CF4"/>
    <w:rsid w:val="55E94D03"/>
    <w:rsid w:val="56B22A9C"/>
    <w:rsid w:val="57B72A76"/>
    <w:rsid w:val="57C3426C"/>
    <w:rsid w:val="57C426F0"/>
    <w:rsid w:val="57CD49AE"/>
    <w:rsid w:val="57CE1F93"/>
    <w:rsid w:val="57D8619A"/>
    <w:rsid w:val="588743D1"/>
    <w:rsid w:val="588745F7"/>
    <w:rsid w:val="5887701A"/>
    <w:rsid w:val="58B35CA4"/>
    <w:rsid w:val="59C0439F"/>
    <w:rsid w:val="5ABE2233"/>
    <w:rsid w:val="5B61214E"/>
    <w:rsid w:val="5B630887"/>
    <w:rsid w:val="5BDB2C1F"/>
    <w:rsid w:val="5BDF5D95"/>
    <w:rsid w:val="5BFE7528"/>
    <w:rsid w:val="5D227753"/>
    <w:rsid w:val="5E040A06"/>
    <w:rsid w:val="5E0F3744"/>
    <w:rsid w:val="5E106035"/>
    <w:rsid w:val="5E2467F1"/>
    <w:rsid w:val="5E291578"/>
    <w:rsid w:val="5ECB4C57"/>
    <w:rsid w:val="5EE444F1"/>
    <w:rsid w:val="5EEB31C0"/>
    <w:rsid w:val="5F1A2B43"/>
    <w:rsid w:val="5FAB58F8"/>
    <w:rsid w:val="5FB837BB"/>
    <w:rsid w:val="6022031E"/>
    <w:rsid w:val="60CC405A"/>
    <w:rsid w:val="61C76C39"/>
    <w:rsid w:val="61C76FD6"/>
    <w:rsid w:val="61E215D8"/>
    <w:rsid w:val="621B3775"/>
    <w:rsid w:val="621E4B15"/>
    <w:rsid w:val="62364782"/>
    <w:rsid w:val="624913C9"/>
    <w:rsid w:val="62BD5620"/>
    <w:rsid w:val="6394356A"/>
    <w:rsid w:val="63A92EBA"/>
    <w:rsid w:val="63C61B2C"/>
    <w:rsid w:val="63D134C5"/>
    <w:rsid w:val="63D40BE9"/>
    <w:rsid w:val="64102431"/>
    <w:rsid w:val="64A5243A"/>
    <w:rsid w:val="64B40B67"/>
    <w:rsid w:val="64F1109E"/>
    <w:rsid w:val="64F531DE"/>
    <w:rsid w:val="65321DE2"/>
    <w:rsid w:val="65373578"/>
    <w:rsid w:val="65DF057D"/>
    <w:rsid w:val="66B41729"/>
    <w:rsid w:val="671F124A"/>
    <w:rsid w:val="677A33C6"/>
    <w:rsid w:val="681F6961"/>
    <w:rsid w:val="68610A2F"/>
    <w:rsid w:val="68805514"/>
    <w:rsid w:val="68FB70EA"/>
    <w:rsid w:val="69316E2F"/>
    <w:rsid w:val="69475EAA"/>
    <w:rsid w:val="694E2071"/>
    <w:rsid w:val="69766163"/>
    <w:rsid w:val="697A3B33"/>
    <w:rsid w:val="699D04C9"/>
    <w:rsid w:val="69D44760"/>
    <w:rsid w:val="6A520EC7"/>
    <w:rsid w:val="6AF87E20"/>
    <w:rsid w:val="6B322639"/>
    <w:rsid w:val="6B607F4C"/>
    <w:rsid w:val="6B6C62C8"/>
    <w:rsid w:val="6B794B9F"/>
    <w:rsid w:val="6BAF5872"/>
    <w:rsid w:val="6BE22421"/>
    <w:rsid w:val="6C636C38"/>
    <w:rsid w:val="6CCA2EAF"/>
    <w:rsid w:val="6DB34098"/>
    <w:rsid w:val="6DB545B6"/>
    <w:rsid w:val="6DE02FB4"/>
    <w:rsid w:val="6E514CED"/>
    <w:rsid w:val="6E8668BF"/>
    <w:rsid w:val="6E8A5FBA"/>
    <w:rsid w:val="6EA17F4F"/>
    <w:rsid w:val="6EB563D5"/>
    <w:rsid w:val="6ED92677"/>
    <w:rsid w:val="6F1A3E56"/>
    <w:rsid w:val="6F225983"/>
    <w:rsid w:val="6F2C07C3"/>
    <w:rsid w:val="6F741B7F"/>
    <w:rsid w:val="6FFC5590"/>
    <w:rsid w:val="706D1DD0"/>
    <w:rsid w:val="70856B87"/>
    <w:rsid w:val="70D527EE"/>
    <w:rsid w:val="715B5300"/>
    <w:rsid w:val="71D27F8A"/>
    <w:rsid w:val="72553024"/>
    <w:rsid w:val="72A526E9"/>
    <w:rsid w:val="73021D11"/>
    <w:rsid w:val="73122968"/>
    <w:rsid w:val="731F5D5E"/>
    <w:rsid w:val="73C51AD5"/>
    <w:rsid w:val="741E793C"/>
    <w:rsid w:val="745E3944"/>
    <w:rsid w:val="74A721F2"/>
    <w:rsid w:val="753E2937"/>
    <w:rsid w:val="75814815"/>
    <w:rsid w:val="75B96BD7"/>
    <w:rsid w:val="7635099D"/>
    <w:rsid w:val="76874D1D"/>
    <w:rsid w:val="77762421"/>
    <w:rsid w:val="77B56B1F"/>
    <w:rsid w:val="780F09F4"/>
    <w:rsid w:val="78A90480"/>
    <w:rsid w:val="78F66791"/>
    <w:rsid w:val="79813F31"/>
    <w:rsid w:val="7A364017"/>
    <w:rsid w:val="7A8265E1"/>
    <w:rsid w:val="7B686D42"/>
    <w:rsid w:val="7B7B3007"/>
    <w:rsid w:val="7B841746"/>
    <w:rsid w:val="7C6C5AC7"/>
    <w:rsid w:val="7CC6544B"/>
    <w:rsid w:val="7CD5193E"/>
    <w:rsid w:val="7CE01E52"/>
    <w:rsid w:val="7D0239FF"/>
    <w:rsid w:val="7D5E40CD"/>
    <w:rsid w:val="7DCD56F2"/>
    <w:rsid w:val="7DFE459A"/>
    <w:rsid w:val="7F001CE7"/>
    <w:rsid w:val="7FE47E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0" w:semiHidden="0" w:name="heading 2" w:locked="1"/>
    <w:lsdException w:qFormat="1" w:uiPriority="0"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iPriority="99"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nhideWhenUsed="0" w:uiPriority="0"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1"/>
    <w:qFormat/>
    <w:locked/>
    <w:uiPriority w:val="0"/>
    <w:pPr>
      <w:spacing w:before="100" w:beforeLines="0" w:beforeAutospacing="1" w:afterLines="0" w:afterAutospacing="1" w:line="360" w:lineRule="auto"/>
      <w:ind w:leftChars="0" w:rightChars="0" w:firstLine="0" w:firstLineChars="0"/>
      <w:outlineLvl w:val="1"/>
    </w:pPr>
    <w:rPr>
      <w:rFonts w:ascii="Times New Roman" w:hAnsi="Times New Roman"/>
      <w:b/>
      <w:bCs/>
      <w:sz w:val="32"/>
      <w:szCs w:val="32"/>
    </w:rPr>
  </w:style>
  <w:style w:type="paragraph" w:styleId="2">
    <w:name w:val="heading 3"/>
    <w:basedOn w:val="1"/>
    <w:next w:val="1"/>
    <w:unhideWhenUsed/>
    <w:qFormat/>
    <w:locked/>
    <w:uiPriority w:val="0"/>
    <w:pPr>
      <w:keepNext/>
      <w:keepLines/>
      <w:outlineLvl w:val="2"/>
    </w:pPr>
    <w:rPr>
      <w:b/>
      <w:bCs/>
    </w:rPr>
  </w:style>
  <w:style w:type="paragraph" w:styleId="5">
    <w:name w:val="heading 4"/>
    <w:basedOn w:val="1"/>
    <w:next w:val="1"/>
    <w:qFormat/>
    <w:locked/>
    <w:uiPriority w:val="0"/>
    <w:pPr>
      <w:keepNext/>
      <w:keepLines/>
      <w:spacing w:line="360" w:lineRule="auto"/>
      <w:outlineLvl w:val="3"/>
    </w:pPr>
    <w:rPr>
      <w:b/>
      <w:bCs/>
      <w:sz w:val="24"/>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locked/>
    <w:uiPriority w:val="0"/>
    <w:pPr>
      <w:spacing w:line="240" w:lineRule="auto"/>
      <w:ind w:firstLine="420"/>
    </w:pPr>
    <w:rPr>
      <w:rFonts w:eastAsia="仿宋_GB2312"/>
      <w:color w:val="auto"/>
      <w:kern w:val="0"/>
      <w:sz w:val="32"/>
    </w:rPr>
  </w:style>
  <w:style w:type="paragraph" w:styleId="7">
    <w:name w:val="toc 1"/>
    <w:basedOn w:val="1"/>
    <w:next w:val="1"/>
    <w:qFormat/>
    <w:locked/>
    <w:uiPriority w:val="0"/>
    <w:pPr>
      <w:spacing w:before="120" w:after="120"/>
      <w:jc w:val="left"/>
    </w:pPr>
    <w:rPr>
      <w:b/>
      <w:bCs/>
      <w:caps/>
      <w:sz w:val="20"/>
      <w:szCs w:val="20"/>
    </w:rPr>
  </w:style>
  <w:style w:type="paragraph" w:styleId="8">
    <w:name w:val="annotation text"/>
    <w:basedOn w:val="1"/>
    <w:link w:val="30"/>
    <w:semiHidden/>
    <w:qFormat/>
    <w:uiPriority w:val="0"/>
    <w:pPr>
      <w:jc w:val="left"/>
    </w:pPr>
    <w:rPr>
      <w:kern w:val="0"/>
      <w:sz w:val="24"/>
      <w:szCs w:val="20"/>
    </w:rPr>
  </w:style>
  <w:style w:type="paragraph" w:styleId="9">
    <w:name w:val="Body Text"/>
    <w:basedOn w:val="1"/>
    <w:next w:val="1"/>
    <w:link w:val="31"/>
    <w:qFormat/>
    <w:uiPriority w:val="0"/>
    <w:pPr>
      <w:widowControl/>
      <w:snapToGrid w:val="0"/>
      <w:spacing w:before="60" w:after="160" w:line="259" w:lineRule="auto"/>
      <w:ind w:right="113"/>
    </w:pPr>
    <w:rPr>
      <w:kern w:val="0"/>
      <w:sz w:val="18"/>
      <w:szCs w:val="20"/>
    </w:rPr>
  </w:style>
  <w:style w:type="paragraph" w:styleId="10">
    <w:name w:val="Body Text Indent"/>
    <w:basedOn w:val="1"/>
    <w:next w:val="1"/>
    <w:link w:val="32"/>
    <w:qFormat/>
    <w:uiPriority w:val="0"/>
    <w:pPr>
      <w:spacing w:after="120"/>
      <w:ind w:left="420" w:leftChars="200"/>
    </w:pPr>
    <w:rPr>
      <w:kern w:val="0"/>
      <w:sz w:val="24"/>
      <w:szCs w:val="20"/>
    </w:rPr>
  </w:style>
  <w:style w:type="paragraph" w:styleId="11">
    <w:name w:val="Plain Text"/>
    <w:basedOn w:val="1"/>
    <w:next w:val="1"/>
    <w:qFormat/>
    <w:locked/>
    <w:uiPriority w:val="0"/>
    <w:pPr>
      <w:spacing w:line="360" w:lineRule="auto"/>
      <w:ind w:firstLine="617" w:firstLineChars="257"/>
    </w:pPr>
    <w:rPr>
      <w:rFonts w:ascii="宋体" w:hAnsi="Courier New" w:cs="Courier New"/>
      <w:kern w:val="0"/>
      <w:sz w:val="24"/>
      <w:szCs w:val="21"/>
    </w:rPr>
  </w:style>
  <w:style w:type="paragraph" w:styleId="12">
    <w:name w:val="Date"/>
    <w:basedOn w:val="1"/>
    <w:next w:val="1"/>
    <w:link w:val="33"/>
    <w:qFormat/>
    <w:uiPriority w:val="0"/>
    <w:pPr>
      <w:ind w:left="100" w:leftChars="2500"/>
    </w:pPr>
    <w:rPr>
      <w:kern w:val="0"/>
      <w:sz w:val="24"/>
      <w:szCs w:val="20"/>
    </w:rPr>
  </w:style>
  <w:style w:type="paragraph" w:styleId="13">
    <w:name w:val="Balloon Text"/>
    <w:basedOn w:val="1"/>
    <w:link w:val="34"/>
    <w:semiHidden/>
    <w:qFormat/>
    <w:uiPriority w:val="0"/>
    <w:rPr>
      <w:kern w:val="0"/>
      <w:sz w:val="18"/>
      <w:szCs w:val="20"/>
    </w:rPr>
  </w:style>
  <w:style w:type="paragraph" w:styleId="14">
    <w:name w:val="footer"/>
    <w:basedOn w:val="1"/>
    <w:link w:val="35"/>
    <w:qFormat/>
    <w:uiPriority w:val="99"/>
    <w:pPr>
      <w:tabs>
        <w:tab w:val="center" w:pos="4153"/>
        <w:tab w:val="right" w:pos="8306"/>
      </w:tabs>
      <w:snapToGrid w:val="0"/>
      <w:jc w:val="left"/>
    </w:pPr>
    <w:rPr>
      <w:kern w:val="0"/>
      <w:sz w:val="18"/>
      <w:szCs w:val="20"/>
    </w:rPr>
  </w:style>
  <w:style w:type="paragraph" w:styleId="15">
    <w:name w:val="header"/>
    <w:basedOn w:val="1"/>
    <w:link w:val="36"/>
    <w:qFormat/>
    <w:uiPriority w:val="0"/>
    <w:pPr>
      <w:pBdr>
        <w:bottom w:val="single" w:color="auto" w:sz="6" w:space="1"/>
      </w:pBdr>
      <w:tabs>
        <w:tab w:val="center" w:pos="4153"/>
        <w:tab w:val="right" w:pos="8306"/>
      </w:tabs>
      <w:snapToGrid w:val="0"/>
      <w:jc w:val="center"/>
    </w:pPr>
    <w:rPr>
      <w:kern w:val="0"/>
      <w:sz w:val="18"/>
      <w:szCs w:val="20"/>
    </w:rPr>
  </w:style>
  <w:style w:type="paragraph" w:styleId="16">
    <w:name w:val="List"/>
    <w:basedOn w:val="1"/>
    <w:unhideWhenUsed/>
    <w:qFormat/>
    <w:locked/>
    <w:uiPriority w:val="99"/>
    <w:pPr>
      <w:ind w:left="200" w:hanging="200" w:hangingChars="200"/>
    </w:pPr>
  </w:style>
  <w:style w:type="paragraph" w:styleId="17">
    <w:name w:val="Normal (Web)"/>
    <w:basedOn w:val="1"/>
    <w:next w:val="1"/>
    <w:link w:val="37"/>
    <w:qFormat/>
    <w:uiPriority w:val="0"/>
    <w:pPr>
      <w:widowControl/>
      <w:spacing w:before="100" w:beforeAutospacing="1" w:after="100" w:afterAutospacing="1"/>
      <w:jc w:val="left"/>
    </w:pPr>
    <w:rPr>
      <w:rFonts w:ascii="宋体" w:hAnsi="宋体"/>
      <w:kern w:val="0"/>
      <w:sz w:val="24"/>
      <w:szCs w:val="20"/>
    </w:rPr>
  </w:style>
  <w:style w:type="paragraph" w:styleId="18">
    <w:name w:val="annotation subject"/>
    <w:basedOn w:val="8"/>
    <w:next w:val="8"/>
    <w:link w:val="38"/>
    <w:semiHidden/>
    <w:qFormat/>
    <w:uiPriority w:val="0"/>
    <w:rPr>
      <w:b/>
      <w:sz w:val="24"/>
      <w:szCs w:val="20"/>
    </w:rPr>
  </w:style>
  <w:style w:type="paragraph" w:styleId="19">
    <w:name w:val="Body Text First Indent"/>
    <w:basedOn w:val="9"/>
    <w:next w:val="1"/>
    <w:qFormat/>
    <w:locked/>
    <w:uiPriority w:val="0"/>
    <w:pPr>
      <w:spacing w:after="120"/>
      <w:ind w:firstLine="420" w:firstLineChars="100"/>
      <w:jc w:val="both"/>
    </w:pPr>
    <w:rPr>
      <w:rFonts w:ascii="Times New Roman" w:hAnsi="Times New Roman"/>
      <w:sz w:val="21"/>
    </w:rPr>
  </w:style>
  <w:style w:type="paragraph" w:styleId="20">
    <w:name w:val="Body Text First Indent 2"/>
    <w:basedOn w:val="10"/>
    <w:next w:val="19"/>
    <w:qFormat/>
    <w:locked/>
    <w:uiPriority w:val="0"/>
  </w:style>
  <w:style w:type="table" w:styleId="22">
    <w:name w:val="Table Grid"/>
    <w:basedOn w:val="21"/>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locked/>
    <w:uiPriority w:val="0"/>
  </w:style>
  <w:style w:type="character" w:styleId="25">
    <w:name w:val="Hyperlink"/>
    <w:basedOn w:val="23"/>
    <w:qFormat/>
    <w:locked/>
    <w:uiPriority w:val="0"/>
    <w:rPr>
      <w:color w:val="0000FF"/>
      <w:u w:val="single"/>
    </w:rPr>
  </w:style>
  <w:style w:type="character" w:styleId="26">
    <w:name w:val="annotation reference"/>
    <w:basedOn w:val="23"/>
    <w:semiHidden/>
    <w:qFormat/>
    <w:uiPriority w:val="0"/>
    <w:rPr>
      <w:sz w:val="21"/>
    </w:rPr>
  </w:style>
  <w:style w:type="paragraph" w:customStyle="1" w:styleId="27">
    <w:name w:val="表头"/>
    <w:next w:val="1"/>
    <w:qFormat/>
    <w:uiPriority w:val="0"/>
    <w:pPr>
      <w:keepNext/>
      <w:spacing w:line="240" w:lineRule="auto"/>
      <w:jc w:val="center"/>
    </w:pPr>
    <w:rPr>
      <w:rFonts w:ascii="Calibri" w:hAnsi="Calibri" w:eastAsia="宋体" w:cs="Times New Roman"/>
      <w:b/>
      <w:sz w:val="21"/>
    </w:rPr>
  </w:style>
  <w:style w:type="paragraph" w:customStyle="1" w:styleId="28">
    <w:name w:val="表体"/>
    <w:qFormat/>
    <w:uiPriority w:val="99"/>
    <w:pPr>
      <w:keepNext/>
      <w:keepLines/>
      <w:jc w:val="center"/>
    </w:pPr>
    <w:rPr>
      <w:rFonts w:eastAsia="宋体" w:asciiTheme="minorAscii" w:hAnsiTheme="minorAscii" w:cstheme="minorBidi"/>
      <w:sz w:val="21"/>
    </w:rPr>
  </w:style>
  <w:style w:type="paragraph" w:customStyle="1" w:styleId="29">
    <w:name w:val="默认段落"/>
    <w:basedOn w:val="1"/>
    <w:qFormat/>
    <w:uiPriority w:val="0"/>
  </w:style>
  <w:style w:type="character" w:customStyle="1" w:styleId="30">
    <w:name w:val="批注文字 Char"/>
    <w:link w:val="8"/>
    <w:qFormat/>
    <w:locked/>
    <w:uiPriority w:val="0"/>
    <w:rPr>
      <w:rFonts w:ascii="Times New Roman" w:hAnsi="Times New Roman" w:eastAsia="宋体"/>
      <w:sz w:val="24"/>
    </w:rPr>
  </w:style>
  <w:style w:type="character" w:customStyle="1" w:styleId="31">
    <w:name w:val="正文文本 Char"/>
    <w:link w:val="9"/>
    <w:qFormat/>
    <w:locked/>
    <w:uiPriority w:val="0"/>
    <w:rPr>
      <w:sz w:val="18"/>
    </w:rPr>
  </w:style>
  <w:style w:type="character" w:customStyle="1" w:styleId="32">
    <w:name w:val="正文文本缩进 Char"/>
    <w:link w:val="10"/>
    <w:semiHidden/>
    <w:qFormat/>
    <w:locked/>
    <w:uiPriority w:val="0"/>
    <w:rPr>
      <w:rFonts w:ascii="Times New Roman" w:hAnsi="Times New Roman" w:eastAsia="宋体"/>
      <w:sz w:val="24"/>
    </w:rPr>
  </w:style>
  <w:style w:type="character" w:customStyle="1" w:styleId="33">
    <w:name w:val="日期 Char"/>
    <w:link w:val="12"/>
    <w:qFormat/>
    <w:locked/>
    <w:uiPriority w:val="0"/>
    <w:rPr>
      <w:rFonts w:ascii="Times New Roman" w:hAnsi="Times New Roman" w:eastAsia="宋体"/>
      <w:sz w:val="24"/>
    </w:rPr>
  </w:style>
  <w:style w:type="character" w:customStyle="1" w:styleId="34">
    <w:name w:val="批注框文本 Char"/>
    <w:link w:val="13"/>
    <w:semiHidden/>
    <w:qFormat/>
    <w:locked/>
    <w:uiPriority w:val="0"/>
    <w:rPr>
      <w:rFonts w:ascii="Times New Roman" w:hAnsi="Times New Roman" w:eastAsia="宋体"/>
      <w:sz w:val="18"/>
    </w:rPr>
  </w:style>
  <w:style w:type="character" w:customStyle="1" w:styleId="35">
    <w:name w:val="页脚 Char"/>
    <w:link w:val="14"/>
    <w:qFormat/>
    <w:locked/>
    <w:uiPriority w:val="99"/>
    <w:rPr>
      <w:sz w:val="18"/>
    </w:rPr>
  </w:style>
  <w:style w:type="character" w:customStyle="1" w:styleId="36">
    <w:name w:val="页眉 Char"/>
    <w:link w:val="15"/>
    <w:qFormat/>
    <w:locked/>
    <w:uiPriority w:val="0"/>
    <w:rPr>
      <w:sz w:val="18"/>
    </w:rPr>
  </w:style>
  <w:style w:type="character" w:customStyle="1" w:styleId="37">
    <w:name w:val="普通(网站) Char"/>
    <w:link w:val="17"/>
    <w:qFormat/>
    <w:locked/>
    <w:uiPriority w:val="0"/>
    <w:rPr>
      <w:rFonts w:ascii="宋体" w:hAnsi="宋体" w:eastAsia="宋体"/>
      <w:sz w:val="24"/>
    </w:rPr>
  </w:style>
  <w:style w:type="character" w:customStyle="1" w:styleId="38">
    <w:name w:val="批注主题 Char"/>
    <w:link w:val="18"/>
    <w:semiHidden/>
    <w:qFormat/>
    <w:locked/>
    <w:uiPriority w:val="0"/>
    <w:rPr>
      <w:rFonts w:ascii="Times New Roman" w:hAnsi="Times New Roman" w:eastAsia="宋体"/>
      <w:b/>
      <w:kern w:val="2"/>
      <w:sz w:val="24"/>
    </w:rPr>
  </w:style>
  <w:style w:type="paragraph" w:customStyle="1" w:styleId="39">
    <w:name w:val="0正文"/>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40">
    <w:name w:val="Default"/>
    <w:next w:val="1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41">
    <w:name w:val="页脚 字符"/>
    <w:basedOn w:val="23"/>
    <w:qFormat/>
    <w:uiPriority w:val="99"/>
  </w:style>
  <w:style w:type="character" w:customStyle="1" w:styleId="42">
    <w:name w:val="正文文本 字符1"/>
    <w:semiHidden/>
    <w:qFormat/>
    <w:uiPriority w:val="0"/>
    <w:rPr>
      <w:rFonts w:ascii="Times New Roman" w:hAnsi="Times New Roman" w:eastAsia="宋体"/>
      <w:sz w:val="24"/>
    </w:rPr>
  </w:style>
  <w:style w:type="character" w:customStyle="1" w:styleId="43">
    <w:name w:val="表格 Char"/>
    <w:link w:val="44"/>
    <w:qFormat/>
    <w:locked/>
    <w:uiPriority w:val="0"/>
    <w:rPr>
      <w:rFonts w:ascii="宋体"/>
      <w:sz w:val="21"/>
    </w:rPr>
  </w:style>
  <w:style w:type="paragraph" w:customStyle="1" w:styleId="44">
    <w:name w:val="表格"/>
    <w:basedOn w:val="1"/>
    <w:next w:val="1"/>
    <w:link w:val="43"/>
    <w:qFormat/>
    <w:uiPriority w:val="0"/>
    <w:pPr>
      <w:adjustRightInd w:val="0"/>
      <w:snapToGrid w:val="0"/>
      <w:spacing w:beforeLines="10" w:afterLines="10" w:line="259" w:lineRule="auto"/>
      <w:jc w:val="center"/>
    </w:pPr>
    <w:rPr>
      <w:rFonts w:ascii="宋体"/>
      <w:kern w:val="0"/>
      <w:szCs w:val="20"/>
    </w:rPr>
  </w:style>
  <w:style w:type="character" w:customStyle="1" w:styleId="45">
    <w:name w:val="日期 字符"/>
    <w:semiHidden/>
    <w:qFormat/>
    <w:uiPriority w:val="0"/>
    <w:rPr>
      <w:rFonts w:ascii="Times New Roman" w:hAnsi="Times New Roman" w:eastAsia="宋体"/>
      <w:sz w:val="24"/>
    </w:rPr>
  </w:style>
  <w:style w:type="character" w:customStyle="1" w:styleId="46">
    <w:name w:val="批注文字 字符1"/>
    <w:semiHidden/>
    <w:qFormat/>
    <w:uiPriority w:val="0"/>
    <w:rPr>
      <w:rFonts w:ascii="Times New Roman" w:hAnsi="Times New Roman" w:eastAsia="宋体"/>
      <w:sz w:val="24"/>
    </w:rPr>
  </w:style>
  <w:style w:type="paragraph" w:customStyle="1" w:styleId="47">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49">
    <w:name w:val="Table Paragraph"/>
    <w:basedOn w:val="1"/>
    <w:qFormat/>
    <w:uiPriority w:val="0"/>
    <w:pPr>
      <w:widowControl/>
      <w:jc w:val="left"/>
    </w:pPr>
    <w:rPr>
      <w:rFonts w:ascii="Calibri" w:hAnsi="Calibri"/>
      <w:kern w:val="0"/>
      <w:sz w:val="22"/>
      <w:szCs w:val="22"/>
    </w:rPr>
  </w:style>
  <w:style w:type="paragraph" w:customStyle="1" w:styleId="50">
    <w:name w:val="00"/>
    <w:basedOn w:val="1"/>
    <w:qFormat/>
    <w:uiPriority w:val="0"/>
    <w:pPr>
      <w:spacing w:line="520" w:lineRule="exact"/>
      <w:ind w:firstLine="200" w:firstLineChars="200"/>
    </w:pPr>
    <w:rPr>
      <w:rFonts w:ascii="宋体" w:hAnsi="宋体" w:cs="宋体"/>
      <w:sz w:val="24"/>
      <w:szCs w:val="20"/>
    </w:rPr>
  </w:style>
  <w:style w:type="paragraph" w:customStyle="1" w:styleId="51">
    <w:name w:val="A-文本格式"/>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
    <w:name w:val="1.1"/>
    <w:basedOn w:val="1"/>
    <w:qFormat/>
    <w:uiPriority w:val="0"/>
    <w:pPr>
      <w:spacing w:line="360" w:lineRule="auto"/>
      <w:outlineLvl w:val="1"/>
    </w:pPr>
    <w:rPr>
      <w:rFonts w:ascii="黑体" w:hAnsi="黑体" w:eastAsia="黑体"/>
      <w:b/>
      <w:szCs w:val="28"/>
    </w:rPr>
  </w:style>
  <w:style w:type="paragraph" w:customStyle="1" w:styleId="53">
    <w:name w:val="正文五"/>
    <w:basedOn w:val="1"/>
    <w:qFormat/>
    <w:uiPriority w:val="0"/>
    <w:pPr>
      <w:snapToGrid w:val="0"/>
      <w:jc w:val="center"/>
    </w:pPr>
    <w:rPr>
      <w:sz w:val="24"/>
      <w:szCs w:val="20"/>
    </w:rPr>
  </w:style>
  <w:style w:type="paragraph" w:customStyle="1" w:styleId="54">
    <w:name w:val="表文字"/>
    <w:basedOn w:val="1"/>
    <w:qFormat/>
    <w:uiPriority w:val="0"/>
    <w:pPr>
      <w:overflowPunct w:val="0"/>
      <w:autoSpaceDE w:val="0"/>
      <w:autoSpaceDN w:val="0"/>
      <w:adjustRightInd w:val="0"/>
      <w:spacing w:line="240" w:lineRule="auto"/>
      <w:ind w:firstLine="0" w:firstLineChars="0"/>
      <w:jc w:val="center"/>
    </w:pPr>
    <w:rPr>
      <w:kern w:val="0"/>
      <w:sz w:val="21"/>
      <w:szCs w:val="20"/>
    </w:rPr>
  </w:style>
  <w:style w:type="paragraph" w:customStyle="1" w:styleId="55">
    <w:name w:val="报告书正文"/>
    <w:basedOn w:val="1"/>
    <w:qFormat/>
    <w:uiPriority w:val="0"/>
    <w:pPr>
      <w:spacing w:line="240" w:lineRule="auto"/>
      <w:ind w:firstLine="560"/>
    </w:pPr>
    <w:rPr>
      <w:rFonts w:ascii="宋体" w:hAnsi="宋体"/>
      <w:kern w:val="0"/>
      <w:sz w:val="28"/>
      <w:szCs w:val="24"/>
    </w:rPr>
  </w:style>
  <w:style w:type="paragraph" w:customStyle="1" w:styleId="56">
    <w:name w:val="表内格式"/>
    <w:basedOn w:val="1"/>
    <w:qFormat/>
    <w:uiPriority w:val="0"/>
    <w:pPr>
      <w:jc w:val="center"/>
    </w:pPr>
    <w:rPr>
      <w:sz w:val="18"/>
      <w:szCs w:val="20"/>
    </w:rPr>
  </w:style>
  <w:style w:type="character" w:customStyle="1" w:styleId="57">
    <w:name w:val="表名 Char Char"/>
    <w:link w:val="58"/>
    <w:qFormat/>
    <w:uiPriority w:val="0"/>
    <w:rPr>
      <w:b/>
      <w:kern w:val="0"/>
      <w:sz w:val="20"/>
      <w:szCs w:val="21"/>
    </w:rPr>
  </w:style>
  <w:style w:type="paragraph" w:customStyle="1" w:styleId="58">
    <w:name w:val="表名"/>
    <w:basedOn w:val="1"/>
    <w:link w:val="57"/>
    <w:qFormat/>
    <w:uiPriority w:val="0"/>
    <w:pPr>
      <w:spacing w:beforeLines="50" w:line="480" w:lineRule="exact"/>
      <w:ind w:firstLine="200" w:firstLineChars="200"/>
      <w:jc w:val="center"/>
    </w:pPr>
    <w:rPr>
      <w:b/>
      <w:kern w:val="0"/>
      <w:sz w:val="20"/>
      <w:szCs w:val="21"/>
    </w:rPr>
  </w:style>
  <w:style w:type="paragraph" w:customStyle="1" w:styleId="59">
    <w:name w:val="0表格文字"/>
    <w:unhideWhenUsed/>
    <w:qFormat/>
    <w:uiPriority w:val="0"/>
    <w:pPr>
      <w:widowControl w:val="0"/>
      <w:spacing w:line="240" w:lineRule="auto"/>
      <w:ind w:firstLine="0" w:firstLineChars="0"/>
      <w:jc w:val="center"/>
    </w:pPr>
    <w:rPr>
      <w:rFonts w:ascii="Times New Roman" w:hAnsi="Times New Roman" w:eastAsia="宋体" w:cs="Times New Roman"/>
      <w:sz w:val="21"/>
      <w:szCs w:val="21"/>
      <w:lang w:val="en-US" w:eastAsia="zh-CN" w:bidi="ar-SA"/>
    </w:rPr>
  </w:style>
  <w:style w:type="paragraph" w:customStyle="1" w:styleId="60">
    <w:name w:val="正文 段落"/>
    <w:qFormat/>
    <w:uiPriority w:val="0"/>
    <w:pPr>
      <w:keepNext/>
      <w:keepLines/>
      <w:wordWrap w:val="0"/>
      <w:topLinePunct/>
      <w:spacing w:line="360" w:lineRule="auto"/>
      <w:ind w:firstLine="883" w:firstLineChars="200"/>
    </w:pPr>
    <w:rPr>
      <w:rFonts w:ascii="Times New Roman" w:hAnsi="Times New Roman" w:eastAsia="宋体" w:cs="Times New Roman"/>
      <w:sz w:val="24"/>
      <w:lang w:val="en-US" w:eastAsia="zh-CN" w:bidi="ar-SA"/>
    </w:rPr>
  </w:style>
  <w:style w:type="paragraph" w:customStyle="1" w:styleId="61">
    <w:name w:val="表头1"/>
    <w:basedOn w:val="1"/>
    <w:qFormat/>
    <w:uiPriority w:val="0"/>
    <w:pPr>
      <w:jc w:val="center"/>
    </w:pPr>
    <w:rPr>
      <w:rFonts w:ascii="Times New Roman" w:hAnsi="Times New Roman" w:eastAsia="宋体"/>
      <w:b/>
      <w:sz w:val="21"/>
      <w:szCs w:val="22"/>
    </w:rPr>
  </w:style>
  <w:style w:type="paragraph" w:customStyle="1" w:styleId="62">
    <w:name w:val="表黑体"/>
    <w:basedOn w:val="1"/>
    <w:qFormat/>
    <w:uiPriority w:val="0"/>
    <w:pPr>
      <w:jc w:val="center"/>
    </w:pPr>
    <w:rPr>
      <w:b/>
    </w:rPr>
  </w:style>
  <w:style w:type="paragraph" w:customStyle="1" w:styleId="63">
    <w:name w:val="表内文字"/>
    <w:qFormat/>
    <w:uiPriority w:val="0"/>
    <w:pPr>
      <w:jc w:val="center"/>
    </w:pPr>
    <w:rPr>
      <w:rFonts w:ascii="Times New Roman" w:hAnsi="Times New Roman" w:eastAsia="宋体" w:cs="Times New Roman"/>
      <w:sz w:val="22"/>
      <w:szCs w:val="22"/>
      <w:lang w:val="en-US" w:eastAsia="zh-CN" w:bidi="ar-SA"/>
    </w:rPr>
  </w:style>
  <w:style w:type="paragraph" w:customStyle="1" w:styleId="64">
    <w:name w:val="_Style 41"/>
    <w:basedOn w:val="1"/>
    <w:next w:val="65"/>
    <w:qFormat/>
    <w:uiPriority w:val="99"/>
    <w:pPr>
      <w:ind w:firstLine="420" w:firstLineChars="200"/>
    </w:pPr>
    <w:rPr>
      <w:rFonts w:ascii="Calibri" w:hAnsi="Calibri"/>
      <w:sz w:val="28"/>
      <w:szCs w:val="22"/>
    </w:rPr>
  </w:style>
  <w:style w:type="paragraph" w:styleId="65">
    <w:name w:val="List Paragraph"/>
    <w:basedOn w:val="1"/>
    <w:qFormat/>
    <w:uiPriority w:val="99"/>
    <w:pPr>
      <w:ind w:firstLine="420" w:firstLineChars="200"/>
    </w:pPr>
  </w:style>
  <w:style w:type="table" w:customStyle="1" w:styleId="66">
    <w:name w:val="Table Normal"/>
    <w:semiHidden/>
    <w:unhideWhenUsed/>
    <w:qFormat/>
    <w:uiPriority w:val="0"/>
    <w:tblPr>
      <w:tblCellMar>
        <w:top w:w="0" w:type="dxa"/>
        <w:left w:w="0" w:type="dxa"/>
        <w:bottom w:w="0" w:type="dxa"/>
        <w:right w:w="0" w:type="dxa"/>
      </w:tblCellMar>
    </w:tblPr>
  </w:style>
  <w:style w:type="paragraph" w:customStyle="1" w:styleId="67">
    <w:name w:val="1.2"/>
    <w:basedOn w:val="1"/>
    <w:qFormat/>
    <w:uiPriority w:val="0"/>
    <w:pPr>
      <w:adjustRightInd w:val="0"/>
      <w:spacing w:line="360" w:lineRule="auto"/>
    </w:pPr>
    <w:rPr>
      <w:rFonts w:ascii="黑体" w:hAnsi="黑体" w:eastAsia="黑体"/>
      <w:b/>
      <w:sz w:val="24"/>
    </w:rPr>
  </w:style>
  <w:style w:type="paragraph" w:customStyle="1" w:styleId="68">
    <w:name w:val="p0"/>
    <w:next w:val="1"/>
    <w:qFormat/>
    <w:uiPriority w:val="0"/>
    <w:rPr>
      <w:rFonts w:ascii="Times New Roman" w:hAnsi="Times New Roman" w:eastAsia="宋体" w:cs="Times New Roman"/>
      <w:sz w:val="21"/>
      <w:szCs w:val="21"/>
      <w:lang w:val="en-US" w:eastAsia="zh-CN" w:bidi="ar-SA"/>
    </w:rPr>
  </w:style>
  <w:style w:type="paragraph" w:customStyle="1" w:styleId="69">
    <w:name w:val="Table Text"/>
    <w:basedOn w:val="1"/>
    <w:semiHidden/>
    <w:qFormat/>
    <w:uiPriority w:val="0"/>
    <w:rPr>
      <w:rFonts w:ascii="宋体" w:hAnsi="宋体" w:eastAsia="宋体" w:cs="宋体"/>
      <w:sz w:val="16"/>
      <w:szCs w:val="16"/>
      <w:lang w:val="en-US" w:eastAsia="en-US" w:bidi="ar-SA"/>
    </w:rPr>
  </w:style>
  <w:style w:type="paragraph" w:customStyle="1" w:styleId="70">
    <w:name w:val="Body text|1"/>
    <w:basedOn w:val="1"/>
    <w:qFormat/>
    <w:uiPriority w:val="0"/>
    <w:pPr>
      <w:spacing w:after="330" w:line="480" w:lineRule="auto"/>
      <w:ind w:firstLine="400"/>
    </w:pPr>
    <w:rPr>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微软中国</Company>
  <Pages>64</Pages>
  <Words>30426</Words>
  <Characters>36346</Characters>
  <Lines>13</Lines>
  <Paragraphs>3</Paragraphs>
  <TotalTime>41</TotalTime>
  <ScaleCrop>false</ScaleCrop>
  <LinksUpToDate>false</LinksUpToDate>
  <CharactersWithSpaces>36938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2020-12-24T01:29:00Z</dcterms:created>
  <dc:creator>lhj</dc:creator>
  <cp:lastModifiedBy>看见，看不见</cp:lastModifiedBy>
  <cp:lastPrinted>2020-12-29T02:43:00Z</cp:lastPrinted>
  <dcterms:modified xsi:type="dcterms:W3CDTF">2024-03-08T03:21:17Z</dcterms:modified>
  <dc:title>附件2</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947CEFFD3C9049AD8390F61D2B59D6B6_13</vt:lpwstr>
  </property>
</Properties>
</file>